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A1" w:rsidRDefault="00774CA1" w:rsidP="00774CA1">
      <w:pPr>
        <w:pStyle w:val="Balk1"/>
        <w:spacing w:before="90"/>
        <w:ind w:left="-142" w:right="-46"/>
        <w:rPr>
          <w:lang w:val="tr-TR"/>
        </w:rPr>
      </w:pPr>
      <w:bookmarkStart w:id="0" w:name="_GoBack"/>
      <w:bookmarkEnd w:id="0"/>
      <w:r>
        <w:rPr>
          <w:noProof/>
          <w:lang w:val="tr-TR" w:eastAsia="tr-TR"/>
        </w:rPr>
        <w:drawing>
          <wp:inline distT="0" distB="0" distL="0" distR="0" wp14:anchorId="0AE2B162" wp14:editId="35BBB087">
            <wp:extent cx="828675" cy="828675"/>
            <wp:effectExtent l="0" t="0" r="9525" b="9525"/>
            <wp:docPr id="14" name="Resim 14" descr="C:\Users\f.savas\Desktop\ASBU_LOGO_TR (1)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 descr="C:\Users\f.savas\Desktop\ASBU_LOGO_TR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8F" w:rsidRPr="001269EB" w:rsidRDefault="00E0147D" w:rsidP="00774CA1">
      <w:pPr>
        <w:pStyle w:val="Balk1"/>
        <w:spacing w:before="90"/>
        <w:ind w:left="-142" w:right="-46"/>
        <w:rPr>
          <w:lang w:val="tr-TR"/>
        </w:rPr>
      </w:pPr>
      <w:r w:rsidRPr="001269EB">
        <w:rPr>
          <w:lang w:val="tr-TR"/>
        </w:rPr>
        <w:t>DOĞRUDAN TEMİNDE</w:t>
      </w:r>
    </w:p>
    <w:p w:rsidR="0086628F" w:rsidRPr="001269EB" w:rsidRDefault="00E0147D" w:rsidP="00774CA1">
      <w:pPr>
        <w:ind w:left="-142" w:right="-46"/>
        <w:jc w:val="center"/>
        <w:rPr>
          <w:b/>
          <w:sz w:val="24"/>
          <w:lang w:val="tr-TR"/>
        </w:rPr>
      </w:pPr>
      <w:r w:rsidRPr="001269EB">
        <w:rPr>
          <w:b/>
          <w:sz w:val="24"/>
          <w:lang w:val="tr-TR"/>
        </w:rPr>
        <w:t>TEKNİK ŞARTNAME DÜZENLENMESİ ESASLARI</w:t>
      </w:r>
    </w:p>
    <w:p w:rsidR="0086628F" w:rsidRPr="001269EB" w:rsidRDefault="0086628F" w:rsidP="001269EB">
      <w:pPr>
        <w:pStyle w:val="GvdeMetni"/>
        <w:spacing w:before="0"/>
        <w:ind w:left="0" w:right="0"/>
        <w:rPr>
          <w:b/>
          <w:lang w:val="tr-TR"/>
        </w:rPr>
      </w:pPr>
    </w:p>
    <w:p w:rsidR="0086628F" w:rsidRPr="001269EB" w:rsidRDefault="0086628F" w:rsidP="001269EB">
      <w:pPr>
        <w:pStyle w:val="GvdeMetni"/>
        <w:spacing w:before="9"/>
        <w:ind w:left="0" w:right="0"/>
        <w:rPr>
          <w:b/>
          <w:sz w:val="23"/>
          <w:lang w:val="tr-TR"/>
        </w:rPr>
      </w:pP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318"/>
        </w:tabs>
        <w:spacing w:before="0" w:line="256" w:lineRule="auto"/>
        <w:ind w:right="118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Alım konusu; Mal, hizmet alım veya yapım işinin teknik ayrıntılarını ve şartlarını gösteren bir teknik şartname hazırlanarak temin sürecine dahil edilmesi</w:t>
      </w:r>
      <w:r w:rsidRPr="001269EB">
        <w:rPr>
          <w:spacing w:val="-8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zorunludur.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318"/>
        </w:tabs>
        <w:spacing w:line="256" w:lineRule="auto"/>
        <w:ind w:right="118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Alım konusu işin her türlü özelliğini belirten teknik şartnamenin ihtiyaç bildiren birimce hazırlanması ve onaylanması</w:t>
      </w:r>
      <w:r w:rsidRPr="001269EB">
        <w:rPr>
          <w:spacing w:val="-4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esastır.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415"/>
        </w:tabs>
        <w:spacing w:line="256" w:lineRule="auto"/>
        <w:ind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Ancak, işin özelliği nedeniyle idarelerce hazırlanmasının mümkün olmadığının harcama yetkilisi tarafından onaylanması kaydıyla, teknik şartnameler bu kanun hükümlerine göre danışmanlık hizmet sunucularına</w:t>
      </w:r>
      <w:r w:rsidRPr="001269EB">
        <w:rPr>
          <w:spacing w:val="-8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hazırlattırılabilir.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501"/>
        </w:tabs>
        <w:spacing w:before="167" w:line="256" w:lineRule="auto"/>
        <w:ind w:right="118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İhale konusu işin teknik kriterlerine ihale dokümanının bir parçası olan teknik şartnamelerde yer</w:t>
      </w:r>
      <w:r w:rsidRPr="001269EB">
        <w:rPr>
          <w:spacing w:val="-6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verilir.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441"/>
        </w:tabs>
        <w:spacing w:line="256" w:lineRule="auto"/>
        <w:ind w:right="123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Belirlenecek teknik kriterler, verimliliği ve fonksiyonelliği sağlamaya yönelik olacak, rekabeti engelleyici hususlar içermeyecek ve bütün istekliler için fırsat eşitliği</w:t>
      </w:r>
      <w:r w:rsidRPr="001269EB">
        <w:rPr>
          <w:spacing w:val="-17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sağlayacaktır.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467"/>
        </w:tabs>
        <w:spacing w:line="256" w:lineRule="auto"/>
        <w:ind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Teknik Şartnamelerde belirli bir marka, model, patent, menşei, kaynak veya ürün belirtilemez ve belirli bir marka veya modele yönelik özellik ve tanımlamalara yer</w:t>
      </w:r>
      <w:r w:rsidRPr="001269EB">
        <w:rPr>
          <w:spacing w:val="-15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verilemez.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395"/>
        </w:tabs>
        <w:spacing w:line="256" w:lineRule="auto"/>
        <w:ind w:right="118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Ancak ulusal veya uluslar arası teknik standartların bulunmaması veya teknik özelliklerin belirlenmesinin mümkün olmaması halinde “veya dengi” ifadesine yer verilmek şartıyla marka veya model</w:t>
      </w:r>
      <w:r w:rsidRPr="001269EB">
        <w:rPr>
          <w:spacing w:val="-7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belirtilebilir.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443"/>
        </w:tabs>
        <w:spacing w:line="256" w:lineRule="auto"/>
        <w:ind w:right="118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Teknik şartnamede, alım konusu malın ambalajlanması ve etiketlenmesi ile kullanım kılavuzuna yönelik düzenleme</w:t>
      </w:r>
      <w:r w:rsidRPr="001269EB">
        <w:rPr>
          <w:spacing w:val="-7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yapılabilir.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383"/>
        </w:tabs>
        <w:spacing w:before="164" w:line="259" w:lineRule="auto"/>
        <w:ind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Teknik şartnamede, alım konusu malın montajı ve satış sonrası servisi ile yedek parçasının sağlanmasına yönelik düzenleme</w:t>
      </w:r>
      <w:r w:rsidRPr="001269EB">
        <w:rPr>
          <w:spacing w:val="-7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yapılabilir.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499"/>
        </w:tabs>
        <w:spacing w:before="161" w:line="256" w:lineRule="auto"/>
        <w:ind w:right="122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Yedek parça alımlarında, alım konusu malın tanımının yapılabilmesi için, yedek parçasına ihtiyaç duyulan ana malın marka ve modelinin teknik şartnamede belirtilmesi</w:t>
      </w:r>
      <w:r w:rsidRPr="001269EB">
        <w:rPr>
          <w:spacing w:val="-10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mümkündür.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523"/>
        </w:tabs>
        <w:spacing w:line="256" w:lineRule="auto"/>
        <w:ind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Teknik Şartnamenin hazırlanmasında, ürünlere ilişkin teknik mevzuatın hazırlanması ve uygulanmasına dair mevzuat göz önünde</w:t>
      </w:r>
      <w:r w:rsidRPr="001269EB">
        <w:rPr>
          <w:spacing w:val="-6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bulundurulmalıdır.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542"/>
        </w:tabs>
        <w:spacing w:line="256" w:lineRule="auto"/>
        <w:ind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Teknik şartnamede öngörülmüş ise mesleki ve teknik yeterlik kriterleri gösterir belge istenebilir.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518"/>
        </w:tabs>
        <w:spacing w:line="259" w:lineRule="auto"/>
        <w:ind w:right="120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Teknik Şartnamedeki düzenlemelerin; doğrudan temin komisyonu ile muayene ve kabul komisyonunca yapılacak inceleme ve değerlendirmelerde tereddüt oluşturmayacak şekilde açık olması</w:t>
      </w:r>
      <w:r w:rsidRPr="001269EB">
        <w:rPr>
          <w:spacing w:val="-5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gerekir.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631"/>
        </w:tabs>
        <w:spacing w:before="163" w:line="256" w:lineRule="auto"/>
        <w:ind w:right="111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Numune istenilen alımlarda, numunenin uygunluk incelemesi Teknik Şartname hükümleriyle karşılaştırılarak</w:t>
      </w:r>
      <w:r w:rsidRPr="001269EB">
        <w:rPr>
          <w:spacing w:val="-10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yapılmalıdır.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573"/>
        </w:tabs>
        <w:spacing w:line="256" w:lineRule="auto"/>
        <w:ind w:right="121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Teknik Şartnameye “tercih nedenidir” “beğenilir olmalıdır” gibi subjektif ve soyut nitelikli hükümler</w:t>
      </w:r>
      <w:r w:rsidRPr="001269EB">
        <w:rPr>
          <w:spacing w:val="-6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konulmamalıdır.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631"/>
        </w:tabs>
        <w:spacing w:before="52" w:line="259" w:lineRule="auto"/>
        <w:ind w:right="122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 xml:space="preserve">Teknik Şartnamede referans belgesi sunulması veya referans gösterilmesi gibi </w:t>
      </w:r>
      <w:r w:rsidRPr="001269EB">
        <w:rPr>
          <w:sz w:val="24"/>
          <w:lang w:val="tr-TR"/>
        </w:rPr>
        <w:lastRenderedPageBreak/>
        <w:t>düzenlemeler</w:t>
      </w:r>
      <w:r w:rsidRPr="001269EB">
        <w:rPr>
          <w:spacing w:val="-3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yapılmamalıdır.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597"/>
        </w:tabs>
        <w:spacing w:before="161" w:line="256" w:lineRule="auto"/>
        <w:ind w:right="115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Teknik şartname düzenlenmeyen durumlarda doğrudan temin komisyonunun alım sürecinde teknik değerlendirme yapması mümkün</w:t>
      </w:r>
      <w:r w:rsidRPr="001269EB">
        <w:rPr>
          <w:spacing w:val="-11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değildir.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764"/>
          <w:tab w:val="left" w:pos="765"/>
        </w:tabs>
        <w:spacing w:line="256" w:lineRule="auto"/>
        <w:ind w:right="119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İdare, isteklilerden teklif edecekleri ürünün marka veya modelini belirtmelerini isteyebilir.</w:t>
      </w:r>
    </w:p>
    <w:p w:rsidR="0086628F" w:rsidRPr="001269EB" w:rsidRDefault="00E0147D" w:rsidP="001269EB">
      <w:pPr>
        <w:pStyle w:val="ListeParagraf"/>
        <w:numPr>
          <w:ilvl w:val="0"/>
          <w:numId w:val="1"/>
        </w:numPr>
        <w:tabs>
          <w:tab w:val="left" w:pos="549"/>
        </w:tabs>
        <w:spacing w:line="256" w:lineRule="auto"/>
        <w:ind w:right="122" w:firstLine="0"/>
        <w:jc w:val="both"/>
        <w:rPr>
          <w:sz w:val="24"/>
          <w:lang w:val="tr-TR"/>
        </w:rPr>
      </w:pPr>
      <w:r w:rsidRPr="001269EB">
        <w:rPr>
          <w:sz w:val="24"/>
          <w:lang w:val="tr-TR"/>
        </w:rPr>
        <w:t>Yapım ve hizmet ihalelerinde yüklenicinin kullanacağı malzemeler konusunda teknik şartnamede marka belirtilmemesi</w:t>
      </w:r>
      <w:r w:rsidRPr="001269EB">
        <w:rPr>
          <w:spacing w:val="-10"/>
          <w:sz w:val="24"/>
          <w:lang w:val="tr-TR"/>
        </w:rPr>
        <w:t xml:space="preserve"> </w:t>
      </w:r>
      <w:r w:rsidRPr="001269EB">
        <w:rPr>
          <w:sz w:val="24"/>
          <w:lang w:val="tr-TR"/>
        </w:rPr>
        <w:t>gerekir.</w:t>
      </w:r>
    </w:p>
    <w:sectPr w:rsidR="0086628F" w:rsidRPr="001269EB" w:rsidSect="00774CA1">
      <w:pgSz w:w="11910" w:h="16840"/>
      <w:pgMar w:top="1340" w:right="1300" w:bottom="280" w:left="1300" w:header="39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B03" w:rsidRDefault="00443B03" w:rsidP="00774CA1">
      <w:r>
        <w:separator/>
      </w:r>
    </w:p>
  </w:endnote>
  <w:endnote w:type="continuationSeparator" w:id="0">
    <w:p w:rsidR="00443B03" w:rsidRDefault="00443B03" w:rsidP="0077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B03" w:rsidRDefault="00443B03" w:rsidP="00774CA1">
      <w:r>
        <w:separator/>
      </w:r>
    </w:p>
  </w:footnote>
  <w:footnote w:type="continuationSeparator" w:id="0">
    <w:p w:rsidR="00443B03" w:rsidRDefault="00443B03" w:rsidP="0077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0B8B"/>
    <w:multiLevelType w:val="hybridMultilevel"/>
    <w:tmpl w:val="1C5C724E"/>
    <w:lvl w:ilvl="0" w:tplc="80689B0A">
      <w:start w:val="1"/>
      <w:numFmt w:val="decimal"/>
      <w:lvlText w:val="%1-"/>
      <w:lvlJc w:val="left"/>
      <w:pPr>
        <w:ind w:left="116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373C5A6A">
      <w:numFmt w:val="bullet"/>
      <w:lvlText w:val="•"/>
      <w:lvlJc w:val="left"/>
      <w:pPr>
        <w:ind w:left="1038" w:hanging="201"/>
      </w:pPr>
      <w:rPr>
        <w:rFonts w:hint="default"/>
      </w:rPr>
    </w:lvl>
    <w:lvl w:ilvl="2" w:tplc="080022EE">
      <w:numFmt w:val="bullet"/>
      <w:lvlText w:val="•"/>
      <w:lvlJc w:val="left"/>
      <w:pPr>
        <w:ind w:left="1957" w:hanging="201"/>
      </w:pPr>
      <w:rPr>
        <w:rFonts w:hint="default"/>
      </w:rPr>
    </w:lvl>
    <w:lvl w:ilvl="3" w:tplc="57F247C8">
      <w:numFmt w:val="bullet"/>
      <w:lvlText w:val="•"/>
      <w:lvlJc w:val="left"/>
      <w:pPr>
        <w:ind w:left="2875" w:hanging="201"/>
      </w:pPr>
      <w:rPr>
        <w:rFonts w:hint="default"/>
      </w:rPr>
    </w:lvl>
    <w:lvl w:ilvl="4" w:tplc="204EA186">
      <w:numFmt w:val="bullet"/>
      <w:lvlText w:val="•"/>
      <w:lvlJc w:val="left"/>
      <w:pPr>
        <w:ind w:left="3794" w:hanging="201"/>
      </w:pPr>
      <w:rPr>
        <w:rFonts w:hint="default"/>
      </w:rPr>
    </w:lvl>
    <w:lvl w:ilvl="5" w:tplc="23468984">
      <w:numFmt w:val="bullet"/>
      <w:lvlText w:val="•"/>
      <w:lvlJc w:val="left"/>
      <w:pPr>
        <w:ind w:left="4713" w:hanging="201"/>
      </w:pPr>
      <w:rPr>
        <w:rFonts w:hint="default"/>
      </w:rPr>
    </w:lvl>
    <w:lvl w:ilvl="6" w:tplc="FF3E9D52">
      <w:numFmt w:val="bullet"/>
      <w:lvlText w:val="•"/>
      <w:lvlJc w:val="left"/>
      <w:pPr>
        <w:ind w:left="5631" w:hanging="201"/>
      </w:pPr>
      <w:rPr>
        <w:rFonts w:hint="default"/>
      </w:rPr>
    </w:lvl>
    <w:lvl w:ilvl="7" w:tplc="005C23AE">
      <w:numFmt w:val="bullet"/>
      <w:lvlText w:val="•"/>
      <w:lvlJc w:val="left"/>
      <w:pPr>
        <w:ind w:left="6550" w:hanging="201"/>
      </w:pPr>
      <w:rPr>
        <w:rFonts w:hint="default"/>
      </w:rPr>
    </w:lvl>
    <w:lvl w:ilvl="8" w:tplc="1D6615C0">
      <w:numFmt w:val="bullet"/>
      <w:lvlText w:val="•"/>
      <w:lvlJc w:val="left"/>
      <w:pPr>
        <w:ind w:left="7469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8F"/>
    <w:rsid w:val="001269EB"/>
    <w:rsid w:val="00443B03"/>
    <w:rsid w:val="00475073"/>
    <w:rsid w:val="00774CA1"/>
    <w:rsid w:val="0086628F"/>
    <w:rsid w:val="00CC17F9"/>
    <w:rsid w:val="00CC1F76"/>
    <w:rsid w:val="00E0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7CBF5-CC28-4615-8FE5-44C9069E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1803" w:right="18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6"/>
      <w:ind w:left="116" w:right="116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6"/>
      <w:ind w:left="116" w:righ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C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4CA1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74C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4C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Dursun A</dc:creator>
  <cp:lastModifiedBy>Fatih Savas</cp:lastModifiedBy>
  <cp:revision>2</cp:revision>
  <dcterms:created xsi:type="dcterms:W3CDTF">2017-12-01T11:12:00Z</dcterms:created>
  <dcterms:modified xsi:type="dcterms:W3CDTF">2017-12-01T11:12:00Z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2017-07-05T00:00:00Z</vt:filetime>
  </property>
</Properties>
</file>