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96DBB" w:rsidTr="000949FD">
        <w:tc>
          <w:tcPr>
            <w:tcW w:w="9212" w:type="dxa"/>
          </w:tcPr>
          <w:p w:rsidR="000109AD" w:rsidRDefault="00BF00F3">
            <w:pPr>
              <w:pageBreakBefore/>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T.C.</w:t>
            </w:r>
            <w:r>
              <w:rPr>
                <w:rFonts w:ascii="Times New Roman" w:hAnsi="Times New Roman" w:cs="Times New Roman"/>
                <w:sz w:val="24"/>
                <w:szCs w:val="24"/>
              </w:rPr>
              <w:br/>
              <w:t>HAZİNE VE MALİYE BAKANLIĞI</w:t>
            </w:r>
            <w:r>
              <w:rPr>
                <w:rFonts w:ascii="Times New Roman" w:hAnsi="Times New Roman" w:cs="Times New Roman"/>
                <w:sz w:val="24"/>
                <w:szCs w:val="24"/>
              </w:rPr>
              <w:br/>
              <w:t>Muhasebat ve Mali Kontrol Genel Müdürlüğü</w:t>
            </w:r>
          </w:p>
        </w:tc>
      </w:tr>
    </w:tbl>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6672"/>
        <w:gridCol w:w="1446"/>
      </w:tblGrid>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90192509-210.09-5349</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13/03/2019</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0109AD" w:rsidRDefault="00BF00F3">
            <w:pPr>
              <w:rPr>
                <w:rFonts w:ascii="Times New Roman" w:hAnsi="Times New Roman" w:cs="Times New Roman"/>
                <w:sz w:val="24"/>
                <w:szCs w:val="24"/>
              </w:rPr>
            </w:pPr>
            <w:r>
              <w:rPr>
                <w:rFonts w:ascii="Times New Roman" w:hAnsi="Times New Roman" w:cs="Times New Roman"/>
                <w:sz w:val="24"/>
                <w:szCs w:val="24"/>
              </w:rPr>
              <w:t>AB Hibeleri</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0109AD" w:rsidRDefault="000109AD">
            <w:pPr>
              <w:jc w:val="center"/>
              <w:rPr>
                <w:rFonts w:ascii="Times New Roman" w:hAnsi="Times New Roman" w:cs="Times New Roman"/>
                <w:sz w:val="24"/>
                <w:szCs w:val="24"/>
              </w:rPr>
            </w:pPr>
          </w:p>
        </w:tc>
      </w:tr>
    </w:tbl>
    <w:p w:rsidR="000949FD" w:rsidRDefault="000949FD" w:rsidP="001C6F35">
      <w:pPr>
        <w:spacing w:line="240" w:lineRule="auto"/>
        <w:jc w:val="center"/>
        <w:rPr>
          <w:rFonts w:ascii="Times New Roman" w:hAnsi="Times New Roman" w:cs="Times New Roman"/>
          <w:sz w:val="24"/>
          <w:szCs w:val="24"/>
        </w:rPr>
      </w:pPr>
    </w:p>
    <w:p w:rsidR="0004588E" w:rsidRDefault="0004588E" w:rsidP="001C6F35">
      <w:pPr>
        <w:spacing w:line="240" w:lineRule="auto"/>
        <w:jc w:val="center"/>
        <w:rPr>
          <w:rFonts w:ascii="Times New Roman" w:hAnsi="Times New Roman" w:cs="Times New Roman"/>
          <w:sz w:val="24"/>
          <w:szCs w:val="24"/>
        </w:rPr>
      </w:pPr>
    </w:p>
    <w:p w:rsidR="0004588E" w:rsidRDefault="00BF00F3" w:rsidP="0004588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Bakanlığımıza intikal eden bilgi ve belgeler ile Sayıştay Başkanlığının 2017 Yılı Dış Denetim Genel Değerlendirme Raporunda ve Dışişleri Bakanlığından (Avrupa Birliği Başkanlığı) alınan muhtelif yazılarda, </w:t>
      </w:r>
      <w:r>
        <w:rPr>
          <w:rFonts w:ascii="Times New Roman" w:hAnsi="Times New Roman" w:cs="Times New Roman"/>
          <w:color w:val="000000"/>
          <w:sz w:val="24"/>
          <w:szCs w:val="24"/>
        </w:rPr>
        <w:t>Avrupa Birliği ve Uluslararası Kuruluşların Kaynaklarından Kamu İdarelerine Proje Karşılığı Aktarılan Hibe Tutarlarının</w:t>
      </w:r>
      <w:r>
        <w:rPr>
          <w:rFonts w:ascii="Times New Roman" w:hAnsi="Times New Roman" w:cs="Times New Roman"/>
          <w:sz w:val="24"/>
          <w:szCs w:val="24"/>
        </w:rPr>
        <w:t xml:space="preserve"> Harcanması ve Muhasebeleştirilmesine İlişkin Yönetmelik (Yönetmelik) çerçevesinde yapılan iş ve işlemlerde muhtelif konularda sıkıntılar yaşandığı anlaşılmış olup anılan Yönetmeliğin “</w:t>
      </w:r>
      <w:r>
        <w:rPr>
          <w:rFonts w:ascii="Times New Roman" w:hAnsi="Times New Roman" w:cs="Times New Roman"/>
          <w:color w:val="000000"/>
          <w:sz w:val="24"/>
          <w:szCs w:val="24"/>
        </w:rPr>
        <w:t xml:space="preserve">Yetki” başlıklı 18 inci maddesinde yer alan </w:t>
      </w:r>
      <w:r>
        <w:rPr>
          <w:rFonts w:ascii="Times New Roman" w:hAnsi="Times New Roman" w:cs="Times New Roman"/>
          <w:i/>
          <w:color w:val="000000"/>
          <w:sz w:val="24"/>
          <w:szCs w:val="24"/>
        </w:rPr>
        <w:t>“(1) Bu Yönetmeliğin uygulanması sırasında doğabilecek tereddütleri gidermeye ve gerektiğinde düzenleme yapmaya Maliye Bakanlığı yetkilidir.”</w:t>
      </w:r>
      <w:r>
        <w:rPr>
          <w:rFonts w:ascii="Times New Roman" w:hAnsi="Times New Roman" w:cs="Times New Roman"/>
          <w:color w:val="000000"/>
          <w:sz w:val="24"/>
          <w:szCs w:val="24"/>
        </w:rPr>
        <w:t xml:space="preserve"> hüküm kapsamında </w:t>
      </w:r>
      <w:r>
        <w:rPr>
          <w:rFonts w:ascii="Times New Roman" w:hAnsi="Times New Roman" w:cs="Times New Roman"/>
          <w:sz w:val="24"/>
          <w:szCs w:val="24"/>
        </w:rPr>
        <w:t>aşağıdaki açıklamaların yapılması uygun görülmüştür.</w:t>
      </w:r>
      <w:proofErr w:type="gramEnd"/>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Bilindiği üzere Yönetmelikte,</w:t>
      </w:r>
      <w:r w:rsidR="0004588E">
        <w:rPr>
          <w:rFonts w:ascii="Times New Roman" w:hAnsi="Times New Roman" w:cs="Times New Roman"/>
          <w:sz w:val="24"/>
          <w:szCs w:val="24"/>
        </w:rPr>
        <w:t xml:space="preserve"> </w:t>
      </w:r>
      <w:r>
        <w:rPr>
          <w:rFonts w:ascii="Times New Roman" w:hAnsi="Times New Roman" w:cs="Times New Roman"/>
          <w:sz w:val="24"/>
          <w:szCs w:val="24"/>
        </w:rPr>
        <w:t xml:space="preserve">kapsam dâhilindeki kamu idarelerine aktarılan hibe niteliğindeki tutarların </w:t>
      </w:r>
      <w:r>
        <w:rPr>
          <w:rFonts w:ascii="Times New Roman" w:hAnsi="Times New Roman" w:cs="Times New Roman"/>
          <w:i/>
          <w:sz w:val="24"/>
          <w:szCs w:val="24"/>
        </w:rPr>
        <w:t>uluslararası anlaşma hükümleri saklı kalmak kaydıyla</w:t>
      </w:r>
      <w:r>
        <w:rPr>
          <w:rFonts w:ascii="Times New Roman" w:hAnsi="Times New Roman" w:cs="Times New Roman"/>
          <w:sz w:val="24"/>
          <w:szCs w:val="24"/>
        </w:rPr>
        <w:t>, izlenmesi, harcanması ve muhasebeleştirmesine ilişkin hususların</w:t>
      </w:r>
      <w:r w:rsidR="0004588E">
        <w:rPr>
          <w:rFonts w:ascii="Times New Roman" w:hAnsi="Times New Roman" w:cs="Times New Roman"/>
          <w:sz w:val="24"/>
          <w:szCs w:val="24"/>
        </w:rPr>
        <w:t xml:space="preserve"> </w:t>
      </w:r>
      <w:r>
        <w:rPr>
          <w:rFonts w:ascii="Times New Roman" w:hAnsi="Times New Roman" w:cs="Times New Roman"/>
          <w:sz w:val="24"/>
          <w:szCs w:val="24"/>
        </w:rPr>
        <w:t>belirlenmesinin a</w:t>
      </w:r>
      <w:r w:rsidR="0004588E">
        <w:rPr>
          <w:rFonts w:ascii="Times New Roman" w:hAnsi="Times New Roman" w:cs="Times New Roman"/>
          <w:sz w:val="24"/>
          <w:szCs w:val="24"/>
        </w:rPr>
        <w:t>maçlandığı belirtilmiştir.</w:t>
      </w:r>
    </w:p>
    <w:p w:rsidR="0004588E" w:rsidRDefault="00BF00F3" w:rsidP="0004588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Yönetmelikte, </w:t>
      </w:r>
      <w:r>
        <w:rPr>
          <w:rFonts w:ascii="Times New Roman" w:hAnsi="Times New Roman" w:cs="Times New Roman"/>
          <w:sz w:val="24"/>
          <w:szCs w:val="24"/>
        </w:rPr>
        <w:t>proje yürütücüsünün; proje sözleşmesinde belirtilen ve kamu idaresi tarafından projenin yürütülmesinden doğrudan yetkili ve sorumlu kılınan ve proje kapsamında yapılacak harcamalar için harcama yetkisine sahip olan</w:t>
      </w:r>
      <w:r w:rsidR="0004588E">
        <w:rPr>
          <w:rFonts w:ascii="Times New Roman" w:hAnsi="Times New Roman" w:cs="Times New Roman"/>
          <w:sz w:val="24"/>
          <w:szCs w:val="24"/>
        </w:rPr>
        <w:t xml:space="preserve"> </w:t>
      </w:r>
      <w:r>
        <w:rPr>
          <w:rFonts w:ascii="Times New Roman" w:hAnsi="Times New Roman" w:cs="Times New Roman"/>
          <w:sz w:val="24"/>
          <w:szCs w:val="24"/>
        </w:rPr>
        <w:t xml:space="preserve">memuru, diğer kamu görevlisini veya iş sözleşmesine göre çalıştırılan görevli veya görevlileri ifade ettiği, projeye yönelik her türlü harcamanın, </w:t>
      </w:r>
      <w:r>
        <w:rPr>
          <w:rFonts w:ascii="Times New Roman" w:hAnsi="Times New Roman" w:cs="Times New Roman"/>
          <w:i/>
          <w:sz w:val="24"/>
          <w:szCs w:val="24"/>
        </w:rPr>
        <w:t>proje yürütücüsünün vereceği talimat üzerine</w:t>
      </w:r>
      <w:r>
        <w:rPr>
          <w:rFonts w:ascii="Times New Roman" w:hAnsi="Times New Roman" w:cs="Times New Roman"/>
          <w:sz w:val="24"/>
          <w:szCs w:val="24"/>
        </w:rPr>
        <w:t xml:space="preserve"> proje özel hesaplarını tutan muhasebe birimi tarafından proje kapsamında açılan banka hesabından yapılacağı, </w:t>
      </w:r>
      <w:r>
        <w:rPr>
          <w:rFonts w:ascii="Times New Roman" w:hAnsi="Times New Roman" w:cs="Times New Roman"/>
          <w:i/>
          <w:sz w:val="24"/>
          <w:szCs w:val="24"/>
        </w:rPr>
        <w:t>proje yürütücüsünün</w:t>
      </w:r>
      <w:r>
        <w:rPr>
          <w:rFonts w:ascii="Times New Roman" w:hAnsi="Times New Roman" w:cs="Times New Roman"/>
          <w:sz w:val="24"/>
          <w:szCs w:val="24"/>
        </w:rPr>
        <w:t xml:space="preserve">, harcamaların proje şartları ve amaçlarına uygun, etkin ve verimli olarak kullanılmasından, kamu idaresine ve kaynağı sağlayan kuruluşa hesabını vermekten, proje kaynaklarının etkin ve verimli kullanılmamasından doğacak </w:t>
      </w:r>
      <w:r>
        <w:rPr>
          <w:rFonts w:ascii="Times New Roman" w:hAnsi="Times New Roman" w:cs="Times New Roman"/>
          <w:i/>
          <w:sz w:val="24"/>
          <w:szCs w:val="24"/>
        </w:rPr>
        <w:t>her türlü zararın tazmininden sorumlu olduğu,</w:t>
      </w:r>
      <w:r>
        <w:rPr>
          <w:rFonts w:ascii="Times New Roman" w:hAnsi="Times New Roman" w:cs="Times New Roman"/>
          <w:sz w:val="24"/>
          <w:szCs w:val="24"/>
        </w:rPr>
        <w:t xml:space="preserve"> proje kapsamında verilecek avansların ve yapılacak ödemelerin, proje yürütücüsünün karar veya talimatı çerçevesinde </w:t>
      </w:r>
      <w:r>
        <w:rPr>
          <w:rFonts w:ascii="Times New Roman" w:hAnsi="Times New Roman" w:cs="Times New Roman"/>
          <w:i/>
          <w:sz w:val="24"/>
          <w:szCs w:val="24"/>
        </w:rPr>
        <w:t>sınırlamaya tabi olmaksızın yapılacağı</w:t>
      </w:r>
      <w:r>
        <w:rPr>
          <w:rFonts w:ascii="Times New Roman" w:hAnsi="Times New Roman" w:cs="Times New Roman"/>
          <w:sz w:val="24"/>
          <w:szCs w:val="24"/>
        </w:rPr>
        <w:t>, mal veya hizmet alımı için</w:t>
      </w:r>
      <w:r>
        <w:rPr>
          <w:rFonts w:ascii="Times New Roman" w:hAnsi="Times New Roman" w:cs="Times New Roman"/>
          <w:sz w:val="24"/>
          <w:szCs w:val="24"/>
          <w:highlight w:val="white"/>
        </w:rPr>
        <w:t xml:space="preserve"> verilecek avansların proje mutemedine verileceği ve mutemet görevlendirilmesine ilişkin yazıda, mal veya hizmetin ne kadar süre içinde alınacağı</w:t>
      </w:r>
      <w:r>
        <w:rPr>
          <w:rFonts w:ascii="Times New Roman" w:hAnsi="Times New Roman" w:cs="Times New Roman"/>
          <w:sz w:val="24"/>
          <w:szCs w:val="24"/>
        </w:rPr>
        <w:t xml:space="preserve"> ve </w:t>
      </w:r>
      <w:r>
        <w:rPr>
          <w:rFonts w:ascii="Times New Roman" w:hAnsi="Times New Roman" w:cs="Times New Roman"/>
          <w:i/>
          <w:sz w:val="24"/>
          <w:szCs w:val="24"/>
        </w:rPr>
        <w:t>avansın hangi süre içinde mahsup edileceğinin belirtileceği</w:t>
      </w:r>
      <w:r>
        <w:rPr>
          <w:rFonts w:ascii="Times New Roman" w:hAnsi="Times New Roman" w:cs="Times New Roman"/>
          <w:sz w:val="24"/>
          <w:szCs w:val="24"/>
        </w:rPr>
        <w:t xml:space="preserve">, proje yürütücüsünün de, avans kullanabileceği, temin edilen hibeler ve bu hibelerden yapılacak ödemelere ilişkin belgelerin asıllarının, gerektiğinde projenin denetimi ile görevli denetçiye verilmek üzere harcama birimi tarafından, </w:t>
      </w:r>
      <w:r>
        <w:rPr>
          <w:rFonts w:ascii="Times New Roman" w:hAnsi="Times New Roman" w:cs="Times New Roman"/>
          <w:i/>
          <w:sz w:val="24"/>
          <w:szCs w:val="24"/>
        </w:rPr>
        <w:t>onaylı suretlerinin ise</w:t>
      </w:r>
      <w:r>
        <w:rPr>
          <w:rFonts w:ascii="Times New Roman" w:hAnsi="Times New Roman" w:cs="Times New Roman"/>
          <w:sz w:val="24"/>
          <w:szCs w:val="24"/>
        </w:rPr>
        <w:t xml:space="preserve"> projenin ödemelerini gerçekleştiren </w:t>
      </w:r>
      <w:r>
        <w:rPr>
          <w:rFonts w:ascii="Times New Roman" w:hAnsi="Times New Roman" w:cs="Times New Roman"/>
          <w:i/>
          <w:sz w:val="24"/>
          <w:szCs w:val="24"/>
        </w:rPr>
        <w:t>muhasebe birimi</w:t>
      </w:r>
      <w:r>
        <w:rPr>
          <w:rFonts w:ascii="Times New Roman" w:hAnsi="Times New Roman" w:cs="Times New Roman"/>
          <w:sz w:val="24"/>
          <w:szCs w:val="24"/>
        </w:rPr>
        <w:t xml:space="preserve"> tarafından, muhasebeleştirme belgesine ekli olarak düzenli bir şekilde muhafaza edileceği, yapılacak mal veya hizmet alımlarına ilişkin ödemelerde, ödeme karşılığında alınan fatura veya fatura yerine geçen belge, ücret bordrosu gibi belgelerin bağlanmasının esas olduğu, bunun dışında Merkezi Yönetim Harcama Belgeleri Yönetmeliği hükümlerinin </w:t>
      </w:r>
      <w:r>
        <w:rPr>
          <w:rFonts w:ascii="Times New Roman" w:hAnsi="Times New Roman" w:cs="Times New Roman"/>
          <w:i/>
          <w:sz w:val="24"/>
          <w:szCs w:val="24"/>
        </w:rPr>
        <w:t>kıyasen</w:t>
      </w:r>
      <w:r>
        <w:rPr>
          <w:rFonts w:ascii="Times New Roman" w:hAnsi="Times New Roman" w:cs="Times New Roman"/>
          <w:sz w:val="24"/>
          <w:szCs w:val="24"/>
        </w:rPr>
        <w:t xml:space="preserve"> uygulanacağı, </w:t>
      </w:r>
      <w:r>
        <w:rPr>
          <w:rFonts w:ascii="Times New Roman" w:hAnsi="Times New Roman" w:cs="Times New Roman"/>
          <w:sz w:val="24"/>
          <w:szCs w:val="24"/>
        </w:rPr>
        <w:lastRenderedPageBreak/>
        <w:t xml:space="preserve">harcamanın türüne göre, </w:t>
      </w:r>
      <w:r>
        <w:rPr>
          <w:rFonts w:ascii="Times New Roman" w:hAnsi="Times New Roman" w:cs="Times New Roman"/>
          <w:i/>
          <w:sz w:val="24"/>
          <w:szCs w:val="24"/>
        </w:rPr>
        <w:t>zorunlu hallerde bu belgeler dışında harcamaya ilişkin diğer belgelerin de kullanılabileceği</w:t>
      </w:r>
      <w:r>
        <w:rPr>
          <w:rFonts w:ascii="Times New Roman" w:hAnsi="Times New Roman" w:cs="Times New Roman"/>
          <w:sz w:val="24"/>
          <w:szCs w:val="24"/>
        </w:rPr>
        <w:t xml:space="preserve">, bu belgelerin içeriğinden ve doğruluğundan </w:t>
      </w:r>
      <w:r>
        <w:rPr>
          <w:rFonts w:ascii="Times New Roman" w:hAnsi="Times New Roman" w:cs="Times New Roman"/>
          <w:i/>
          <w:sz w:val="24"/>
          <w:szCs w:val="24"/>
        </w:rPr>
        <w:t>harcamayı gerçekleştirenlerin sorumlu olduğu</w:t>
      </w:r>
      <w:r>
        <w:rPr>
          <w:rFonts w:ascii="Times New Roman" w:hAnsi="Times New Roman" w:cs="Times New Roman"/>
          <w:sz w:val="24"/>
          <w:szCs w:val="24"/>
        </w:rPr>
        <w:t xml:space="preserve">, hibe karşılığı proje hesabını tutan </w:t>
      </w:r>
      <w:r>
        <w:rPr>
          <w:rFonts w:ascii="Times New Roman" w:hAnsi="Times New Roman" w:cs="Times New Roman"/>
          <w:i/>
          <w:sz w:val="24"/>
          <w:szCs w:val="24"/>
        </w:rPr>
        <w:t>muhasebe yetkilisinin sorumluluğunun,</w:t>
      </w:r>
      <w:r>
        <w:rPr>
          <w:rFonts w:ascii="Times New Roman" w:hAnsi="Times New Roman" w:cs="Times New Roman"/>
          <w:sz w:val="24"/>
          <w:szCs w:val="24"/>
        </w:rPr>
        <w:t xml:space="preserve"> giderlerin kanıtlayıcı belgelere dayanılarak doğru şekilde </w:t>
      </w:r>
      <w:r>
        <w:rPr>
          <w:rFonts w:ascii="Times New Roman" w:hAnsi="Times New Roman" w:cs="Times New Roman"/>
          <w:i/>
          <w:sz w:val="24"/>
          <w:szCs w:val="24"/>
        </w:rPr>
        <w:t>muhasebeleştirilmesi</w:t>
      </w:r>
      <w:r>
        <w:rPr>
          <w:rFonts w:ascii="Times New Roman" w:hAnsi="Times New Roman" w:cs="Times New Roman"/>
          <w:sz w:val="24"/>
          <w:szCs w:val="24"/>
        </w:rPr>
        <w:t xml:space="preserve">, evrakların denetime sunulmak üzere </w:t>
      </w:r>
      <w:r>
        <w:rPr>
          <w:rFonts w:ascii="Times New Roman" w:hAnsi="Times New Roman" w:cs="Times New Roman"/>
          <w:i/>
          <w:sz w:val="24"/>
          <w:szCs w:val="24"/>
        </w:rPr>
        <w:t>saklanması ve raporlanması ile sınırlı olduğu</w:t>
      </w:r>
      <w:r>
        <w:rPr>
          <w:rFonts w:ascii="Times New Roman" w:hAnsi="Times New Roman" w:cs="Times New Roman"/>
          <w:sz w:val="24"/>
          <w:szCs w:val="24"/>
        </w:rPr>
        <w:t xml:space="preserve"> belirtilmiştir.</w:t>
      </w:r>
      <w:proofErr w:type="gramEnd"/>
    </w:p>
    <w:p w:rsidR="0004588E" w:rsidRDefault="00BF00F3" w:rsidP="0004588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Yukarıda yer verilen mevzuat hükümleri doğrultusunda; </w:t>
      </w:r>
      <w:r>
        <w:rPr>
          <w:rFonts w:ascii="Times New Roman" w:hAnsi="Times New Roman" w:cs="Times New Roman"/>
          <w:i/>
          <w:color w:val="000000"/>
          <w:sz w:val="24"/>
          <w:szCs w:val="24"/>
        </w:rPr>
        <w:t>proje yürütücüsü</w:t>
      </w:r>
      <w:r>
        <w:rPr>
          <w:rFonts w:ascii="Times New Roman" w:hAnsi="Times New Roman" w:cs="Times New Roman"/>
          <w:color w:val="000000"/>
          <w:sz w:val="24"/>
          <w:szCs w:val="24"/>
        </w:rPr>
        <w:t xml:space="preserve">, harcamaların proje şartları ve amaçlarına uygun, etkin ve verimli olarak kullanılmasından, kamu idaresine ve kaynağı sağlayan kuruluşa hesabını vermekten, proje kaynaklarının etkin ve verimli kullanılmamasından doğacak </w:t>
      </w:r>
      <w:r>
        <w:rPr>
          <w:rFonts w:ascii="Times New Roman" w:hAnsi="Times New Roman" w:cs="Times New Roman"/>
          <w:color w:val="000000"/>
          <w:sz w:val="24"/>
          <w:szCs w:val="24"/>
          <w:u w:val="single"/>
        </w:rPr>
        <w:t>her türlü zararın tazmininden</w:t>
      </w:r>
      <w:r>
        <w:rPr>
          <w:rFonts w:ascii="Times New Roman" w:hAnsi="Times New Roman" w:cs="Times New Roman"/>
          <w:color w:val="000000"/>
          <w:sz w:val="24"/>
          <w:szCs w:val="24"/>
        </w:rPr>
        <w:t xml:space="preserve"> sorumlu iken proje hesabını tutan </w:t>
      </w:r>
      <w:r>
        <w:rPr>
          <w:rFonts w:ascii="Times New Roman" w:hAnsi="Times New Roman" w:cs="Times New Roman"/>
          <w:i/>
          <w:color w:val="000000"/>
          <w:sz w:val="24"/>
          <w:szCs w:val="24"/>
        </w:rPr>
        <w:t>muhasebe yetkilisinin sorumluluğu,</w:t>
      </w:r>
      <w:r>
        <w:rPr>
          <w:rFonts w:ascii="Times New Roman" w:hAnsi="Times New Roman" w:cs="Times New Roman"/>
          <w:color w:val="000000"/>
          <w:sz w:val="24"/>
          <w:szCs w:val="24"/>
        </w:rPr>
        <w:t xml:space="preserve"> giderlerin kanıtlayıcı belgelere dayanılarak doğru şekilde </w:t>
      </w:r>
      <w:r>
        <w:rPr>
          <w:rFonts w:ascii="Times New Roman" w:hAnsi="Times New Roman" w:cs="Times New Roman"/>
          <w:color w:val="000000"/>
          <w:sz w:val="24"/>
          <w:szCs w:val="24"/>
          <w:u w:val="single"/>
        </w:rPr>
        <w:t>muhasebeleştirilmesi</w:t>
      </w:r>
      <w:r>
        <w:rPr>
          <w:rFonts w:ascii="Times New Roman" w:hAnsi="Times New Roman" w:cs="Times New Roman"/>
          <w:color w:val="000000"/>
          <w:sz w:val="24"/>
          <w:szCs w:val="24"/>
        </w:rPr>
        <w:t xml:space="preserve">, evrakların denetime sunulmak üzere </w:t>
      </w:r>
      <w:r>
        <w:rPr>
          <w:rFonts w:ascii="Times New Roman" w:hAnsi="Times New Roman" w:cs="Times New Roman"/>
          <w:color w:val="000000"/>
          <w:sz w:val="24"/>
          <w:szCs w:val="24"/>
          <w:u w:val="single"/>
        </w:rPr>
        <w:t>saklanması</w:t>
      </w:r>
      <w:r>
        <w:rPr>
          <w:rFonts w:ascii="Times New Roman" w:hAnsi="Times New Roman" w:cs="Times New Roman"/>
          <w:color w:val="000000"/>
          <w:sz w:val="24"/>
          <w:szCs w:val="24"/>
        </w:rPr>
        <w:t xml:space="preserve"> ve </w:t>
      </w:r>
      <w:r>
        <w:rPr>
          <w:rFonts w:ascii="Times New Roman" w:hAnsi="Times New Roman" w:cs="Times New Roman"/>
          <w:color w:val="000000"/>
          <w:sz w:val="24"/>
          <w:szCs w:val="24"/>
          <w:u w:val="single"/>
        </w:rPr>
        <w:t>raporlanması</w:t>
      </w:r>
      <w:r>
        <w:rPr>
          <w:rFonts w:ascii="Times New Roman" w:hAnsi="Times New Roman" w:cs="Times New Roman"/>
          <w:color w:val="000000"/>
          <w:sz w:val="24"/>
          <w:szCs w:val="24"/>
        </w:rPr>
        <w:t xml:space="preserve"> ile sınırlı olduğundan uluslararası anlaşma hükümleri saklı kalmak kaydıyla</w:t>
      </w:r>
      <w:r>
        <w:rPr>
          <w:rFonts w:ascii="Times New Roman" w:hAnsi="Times New Roman" w:cs="Times New Roman"/>
          <w:sz w:val="24"/>
          <w:szCs w:val="24"/>
        </w:rPr>
        <w:t>;</w:t>
      </w:r>
      <w:proofErr w:type="gramEnd"/>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Aktarılan hibe tutarlarına dair tüm iş ve işlemler muhasebe kayıtlarında izlenecek ve projeye ilişkin banka hesabından, sadece muhasebe biriminin yazılı talimatı doğrultusunda işlem yapılacak olup bu hususta ilgili banka şubeleri</w:t>
      </w:r>
      <w:r w:rsidR="0004588E">
        <w:rPr>
          <w:rFonts w:ascii="Times New Roman" w:hAnsi="Times New Roman" w:cs="Times New Roman"/>
          <w:sz w:val="24"/>
          <w:szCs w:val="24"/>
        </w:rPr>
        <w:t xml:space="preserve"> yazı ile bilgilendirilecektir.</w:t>
      </w:r>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b) Proje yürütücüsünün, mal veya hizmeti ne kadar süre içinde alacağı ve avansı hangi süre içinde mahsup edeceğini belirttiği yazılı</w:t>
      </w:r>
      <w:r w:rsidR="0004588E">
        <w:rPr>
          <w:rFonts w:ascii="Times New Roman" w:hAnsi="Times New Roman" w:cs="Times New Roman"/>
          <w:sz w:val="24"/>
          <w:szCs w:val="24"/>
        </w:rPr>
        <w:t xml:space="preserve"> </w:t>
      </w:r>
      <w:r>
        <w:rPr>
          <w:rFonts w:ascii="Times New Roman" w:hAnsi="Times New Roman" w:cs="Times New Roman"/>
          <w:sz w:val="24"/>
          <w:szCs w:val="24"/>
        </w:rPr>
        <w:t xml:space="preserve">bildirimi çerçevesinde talep ettiği avans tutarı, muhasebe birimlerince herhangi bir </w:t>
      </w:r>
      <w:r>
        <w:rPr>
          <w:rFonts w:ascii="Times New Roman" w:hAnsi="Times New Roman" w:cs="Times New Roman"/>
          <w:i/>
          <w:sz w:val="24"/>
          <w:szCs w:val="24"/>
        </w:rPr>
        <w:t>tutar ve süre sınırlamasına tabi olmaksızın</w:t>
      </w:r>
      <w:r>
        <w:rPr>
          <w:rFonts w:ascii="Times New Roman" w:hAnsi="Times New Roman" w:cs="Times New Roman"/>
          <w:color w:val="000000"/>
          <w:sz w:val="24"/>
          <w:szCs w:val="24"/>
        </w:rPr>
        <w:t>162-Bütçe Dışı Avans ve Krediler Hesabı kullanılarak</w:t>
      </w:r>
      <w:r>
        <w:rPr>
          <w:rFonts w:ascii="Times New Roman" w:hAnsi="Times New Roman" w:cs="Times New Roman"/>
          <w:sz w:val="24"/>
          <w:szCs w:val="24"/>
        </w:rPr>
        <w:t xml:space="preserve"> proje kapsamında açılan banka hesabından ödenecektir. Bu aşamada proje yürütücüsünden ayrıca</w:t>
      </w:r>
      <w:r w:rsidR="0004588E">
        <w:rPr>
          <w:rFonts w:ascii="Times New Roman" w:hAnsi="Times New Roman" w:cs="Times New Roman"/>
          <w:sz w:val="24"/>
          <w:szCs w:val="24"/>
        </w:rPr>
        <w:t xml:space="preserve"> </w:t>
      </w:r>
      <w:r>
        <w:rPr>
          <w:rFonts w:ascii="Times New Roman" w:hAnsi="Times New Roman" w:cs="Times New Roman"/>
          <w:sz w:val="24"/>
          <w:szCs w:val="24"/>
        </w:rPr>
        <w:t>davet mektubu ve Türkçe çevirisi vb. belgeler talep edilmeyecektir.</w:t>
      </w:r>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04588E">
        <w:rPr>
          <w:rFonts w:ascii="Times New Roman" w:hAnsi="Times New Roman" w:cs="Times New Roman"/>
          <w:sz w:val="24"/>
          <w:szCs w:val="24"/>
        </w:rPr>
        <w:t xml:space="preserve"> </w:t>
      </w:r>
      <w:r>
        <w:rPr>
          <w:rFonts w:ascii="Times New Roman" w:hAnsi="Times New Roman" w:cs="Times New Roman"/>
          <w:sz w:val="24"/>
          <w:szCs w:val="24"/>
        </w:rPr>
        <w:t xml:space="preserve">Yapılacak ödemelere ilişkin belgelerin </w:t>
      </w:r>
      <w:r>
        <w:rPr>
          <w:rFonts w:ascii="Times New Roman" w:hAnsi="Times New Roman" w:cs="Times New Roman"/>
          <w:i/>
          <w:sz w:val="24"/>
          <w:szCs w:val="24"/>
        </w:rPr>
        <w:t>onaylı suretlerinin</w:t>
      </w:r>
      <w:r>
        <w:rPr>
          <w:rFonts w:ascii="Times New Roman" w:hAnsi="Times New Roman" w:cs="Times New Roman"/>
          <w:sz w:val="24"/>
          <w:szCs w:val="24"/>
        </w:rPr>
        <w:t xml:space="preserve"> muhasebe birimine</w:t>
      </w:r>
      <w:r w:rsidR="0004588E">
        <w:rPr>
          <w:rFonts w:ascii="Times New Roman" w:hAnsi="Times New Roman" w:cs="Times New Roman"/>
          <w:sz w:val="24"/>
          <w:szCs w:val="24"/>
        </w:rPr>
        <w:t xml:space="preserve"> teslim edilmesi gerekmektedir.</w:t>
      </w:r>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ç) Kamu Haznedarlığı Yönetmeliğinin “</w:t>
      </w:r>
      <w:r>
        <w:rPr>
          <w:rFonts w:ascii="Times New Roman" w:hAnsi="Times New Roman" w:cs="Times New Roman"/>
          <w:sz w:val="24"/>
          <w:szCs w:val="24"/>
        </w:rPr>
        <w:t>Uygulama ve kullanılacak araçlar”</w:t>
      </w:r>
      <w:r w:rsidR="0072719D">
        <w:rPr>
          <w:rFonts w:ascii="Times New Roman" w:hAnsi="Times New Roman" w:cs="Times New Roman"/>
          <w:sz w:val="24"/>
          <w:szCs w:val="24"/>
        </w:rPr>
        <w:t xml:space="preserve"> </w:t>
      </w:r>
      <w:r>
        <w:rPr>
          <w:rFonts w:ascii="Times New Roman" w:hAnsi="Times New Roman" w:cs="Times New Roman"/>
          <w:sz w:val="24"/>
          <w:szCs w:val="24"/>
        </w:rPr>
        <w:t>başlıklı 5 inci maddesinin birinci fıkrasının (b) bendine göre; anlaşmalardaki özel hükümler saklı kalmak kaydıyla söz konusu projelere ilişkin hesaplar sadece Türkiye Cumhuriyet Merkez Bankası veya muhabiri olan bankada (2019 yılı için T.C. Ziraat Bankası A.Ş.) açılacaktır. Daha önce Türkiye Cumhuriyet Merkez Bankası veya muhabiri olan banka dışındaki hesaplarda yer alan tutarlar ise proje yürütücüsünün muhasebe birimine bildireceği yazılı bildirim sonrasında açılacak Türkiye Cumhuriyet Merkez Bankası veya muhabiri olan</w:t>
      </w:r>
      <w:r w:rsidR="0004588E">
        <w:rPr>
          <w:rFonts w:ascii="Times New Roman" w:hAnsi="Times New Roman" w:cs="Times New Roman"/>
          <w:sz w:val="24"/>
          <w:szCs w:val="24"/>
        </w:rPr>
        <w:t xml:space="preserve"> banka hesabına aktarılacaktır.</w:t>
      </w:r>
    </w:p>
    <w:p w:rsidR="0004588E" w:rsidRDefault="00BF00F3" w:rsidP="0004588E">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d) Kanıtlayıcı belgelerin içeriğinden ve doğruluğundan harcamayı gerçekleştirenler sorumlu olduğundan, Avrupa Birliği Eğitim ve Gençlik Programları kapsamında yürütülen projelerin harcama usulleri ve harcamaya ilişkin kanıtlayıcı belgelerin sunumunun ilgili program kuralları çerçevesinde belirlendiği ve uluslararası anlaşmalar doğrultusunda uygulanmakta olan program kurallarına göre harcama kalemleri için fatura veya fatura yerine geçen belgeler yerine </w:t>
      </w:r>
      <w:r>
        <w:rPr>
          <w:rFonts w:ascii="Times New Roman" w:hAnsi="Times New Roman" w:cs="Times New Roman"/>
          <w:i/>
          <w:sz w:val="24"/>
          <w:szCs w:val="24"/>
        </w:rPr>
        <w:t>katılımcı listesi, katılım sertifikası ve personel zaman çizelgesi vb. destekleyici belgeler de, proje yürütücüsü tarafından yazılı olarak muhasebe birimine bildirilmesi</w:t>
      </w:r>
      <w:proofErr w:type="gramEnd"/>
      <w:r>
        <w:rPr>
          <w:rFonts w:ascii="Times New Roman" w:hAnsi="Times New Roman" w:cs="Times New Roman"/>
          <w:i/>
          <w:sz w:val="24"/>
          <w:szCs w:val="24"/>
        </w:rPr>
        <w:t xml:space="preserve"> durumunda kanıtlayıcı belge olarak kabul edilecektir.</w:t>
      </w:r>
      <w:r w:rsidR="0004588E">
        <w:rPr>
          <w:rFonts w:ascii="Times New Roman" w:hAnsi="Times New Roman" w:cs="Times New Roman"/>
          <w:i/>
          <w:sz w:val="24"/>
          <w:szCs w:val="24"/>
        </w:rPr>
        <w:t xml:space="preserve"> </w:t>
      </w:r>
      <w:r>
        <w:rPr>
          <w:rFonts w:ascii="Times New Roman" w:hAnsi="Times New Roman" w:cs="Times New Roman"/>
          <w:sz w:val="24"/>
          <w:szCs w:val="24"/>
        </w:rPr>
        <w:t>Kanıtlayıcı belgelerden yabancı dilde düzenlenmiş olanların ise idarelerince veya proje yürütücüsünce onaylı Türkçe tercümeleri</w:t>
      </w:r>
      <w:r w:rsidR="0004588E">
        <w:rPr>
          <w:rFonts w:ascii="Times New Roman" w:hAnsi="Times New Roman" w:cs="Times New Roman"/>
          <w:sz w:val="24"/>
          <w:szCs w:val="24"/>
        </w:rPr>
        <w:t xml:space="preserve"> ödeme belgesine bağlanacaktır.</w:t>
      </w:r>
    </w:p>
    <w:p w:rsidR="0004588E" w:rsidRDefault="00BF00F3" w:rsidP="0004588E">
      <w:pPr>
        <w:spacing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e) Projeye ilişkin harcamaların geçerli olabilmesi için bu harcamaların proje süresi içinde yapılmış olması ve harcama belgelerinin de bu süre içinde düzenlenmiş olması gerekir. Sözleşme daha sonraki bir tarihte imzalanmış olsa bile sözleşmede belirtilen proje başlangıç ve </w:t>
      </w:r>
      <w:r>
        <w:rPr>
          <w:rFonts w:ascii="Times New Roman" w:hAnsi="Times New Roman" w:cs="Times New Roman"/>
          <w:sz w:val="24"/>
          <w:szCs w:val="24"/>
        </w:rPr>
        <w:lastRenderedPageBreak/>
        <w:t xml:space="preserve">bitiş tarihleri arasında yapılan harcamalar geçerli olmakla beraber </w:t>
      </w:r>
      <w:r>
        <w:rPr>
          <w:rFonts w:ascii="Times New Roman" w:hAnsi="Times New Roman" w:cs="Times New Roman"/>
          <w:i/>
          <w:sz w:val="24"/>
          <w:szCs w:val="24"/>
        </w:rPr>
        <w:t>yapılan harcamaların proje süresi içinde olması proje yürütücülerinin kontrolü ve sorumluluğu altında olduğundan</w:t>
      </w:r>
      <w:r w:rsidR="0004588E">
        <w:rPr>
          <w:rFonts w:ascii="Times New Roman" w:hAnsi="Times New Roman" w:cs="Times New Roman"/>
          <w:i/>
          <w:sz w:val="24"/>
          <w:szCs w:val="24"/>
        </w:rPr>
        <w:t xml:space="preserve"> </w:t>
      </w:r>
      <w:r>
        <w:rPr>
          <w:rFonts w:ascii="Times New Roman" w:hAnsi="Times New Roman" w:cs="Times New Roman"/>
          <w:i/>
          <w:sz w:val="24"/>
          <w:szCs w:val="24"/>
        </w:rPr>
        <w:t>muhasebe birimlerince bu hususta başkaca bir işlem yapılmayacaktır.</w:t>
      </w:r>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04588E">
        <w:rPr>
          <w:rFonts w:ascii="Times New Roman" w:hAnsi="Times New Roman" w:cs="Times New Roman"/>
          <w:sz w:val="24"/>
          <w:szCs w:val="24"/>
        </w:rPr>
        <w:t xml:space="preserve"> </w:t>
      </w:r>
      <w:r>
        <w:rPr>
          <w:rFonts w:ascii="Times New Roman" w:hAnsi="Times New Roman" w:cs="Times New Roman"/>
          <w:sz w:val="24"/>
          <w:szCs w:val="24"/>
        </w:rPr>
        <w:t xml:space="preserve">Yönetmeliğin “Muhasebeleştirme işlemlerinde kullanılacak kur” başlıklı 11 inci maddesine göre avansların mahsubunda avans ödemesinin yapıldığı tarihteki ve </w:t>
      </w:r>
      <w:r>
        <w:rPr>
          <w:rFonts w:ascii="Times New Roman" w:hAnsi="Times New Roman" w:cs="Times New Roman"/>
          <w:color w:val="000000"/>
          <w:sz w:val="24"/>
          <w:szCs w:val="24"/>
        </w:rPr>
        <w:t>diğer işlemlerde ise işlemin yapıldığı tarihteki özel hesabın bulunduğu bankanın döviz alış kuru esas alınacağından</w:t>
      </w:r>
      <w:r>
        <w:rPr>
          <w:rFonts w:ascii="Times New Roman" w:hAnsi="Times New Roman" w:cs="Times New Roman"/>
          <w:sz w:val="24"/>
          <w:szCs w:val="24"/>
        </w:rPr>
        <w:t xml:space="preserve"> ilgilisinden, fatura vb. belgeler üzerine kur tutarı ve tarihi vb. notlar alması talep edilmeyecektir.</w:t>
      </w:r>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 Proje kapsamında yapılacak seyahatlere ilişkin gündelikler varsa proje sözleşmesinde belirtilen hükümlere göre ödeneceğinden ve proje yürütücüsü, kamu idaresi tarafından projenin yürütülmesinden doğrudan yetkili ve sorumlu olduğundan proje yürütücüsünün yazılı olarak muhasebe birimine bildireceği gündelik tutarları hak sahiplerine ödenecek olup muhasebe birimlerince bu hususta</w:t>
      </w:r>
      <w:r w:rsidR="0004588E">
        <w:rPr>
          <w:rFonts w:ascii="Times New Roman" w:hAnsi="Times New Roman" w:cs="Times New Roman"/>
          <w:sz w:val="24"/>
          <w:szCs w:val="24"/>
        </w:rPr>
        <w:t xml:space="preserve"> </w:t>
      </w:r>
      <w:r>
        <w:rPr>
          <w:rFonts w:ascii="Times New Roman" w:hAnsi="Times New Roman" w:cs="Times New Roman"/>
          <w:sz w:val="24"/>
          <w:szCs w:val="24"/>
        </w:rPr>
        <w:t>başkaca bir işlem yapılmayacaktır.</w:t>
      </w:r>
    </w:p>
    <w:p w:rsidR="0004588E"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 Gelir İdaresi Başkanlığından alınan 24/12/2018 tarihli ve 170333 sayılı mütalaa yazısında; sözleşme makamı ile birlik yüklenicisi arasında imzalanan birlik sözleşmesi ve bu sözleşme kapsamında düzenlenen kâğıtların doğrudan bu sözleşmelerle sınırlı olmak üzere damga vergisinden istisna olduğu, birlik sözleşmesi kapsamında yürütülen projeler bazında istihdam edilen sözleşmeli personele münhasıran bu projeler kapsamında ve projelerin bütçesinden yapılan ücret ödemelerine ilişkin düzenlenecek </w:t>
      </w:r>
      <w:proofErr w:type="gramStart"/>
      <w:r>
        <w:rPr>
          <w:rFonts w:ascii="Times New Roman" w:hAnsi="Times New Roman" w:cs="Times New Roman"/>
          <w:sz w:val="24"/>
          <w:szCs w:val="24"/>
        </w:rPr>
        <w:t>kağıtlara</w:t>
      </w:r>
      <w:proofErr w:type="gramEnd"/>
      <w:r>
        <w:rPr>
          <w:rFonts w:ascii="Times New Roman" w:hAnsi="Times New Roman" w:cs="Times New Roman"/>
          <w:sz w:val="24"/>
          <w:szCs w:val="24"/>
        </w:rPr>
        <w:t>, proje bütçesinden ödenen tutar ve proje süresi ile sınırlı olmak üzere ve Katılım Öncesi Yardım Aracı (IPA II) Çerçeve Anlaşmasının 1 Sıra Nolu Genel Tebliğindeki diğer hükümlere uyulması şartıyla damga vergisi istisnası uygulanabileceği ancak bu kapsamda yer almayan sözleşmeli personele ilişkin istisna uygulanamayacağı, diğer taraftan memurlara (proje kapsamında çalışanlar dâhil) yapılan ödemelere ilişkin düzenlenen kağıtlarda ise damga vergisi istisnası uygulanmayacağ</w:t>
      </w:r>
      <w:r w:rsidR="0004588E">
        <w:rPr>
          <w:rFonts w:ascii="Times New Roman" w:hAnsi="Times New Roman" w:cs="Times New Roman"/>
          <w:sz w:val="24"/>
          <w:szCs w:val="24"/>
        </w:rPr>
        <w:t>ı belirtilmiştir.</w:t>
      </w:r>
    </w:p>
    <w:p w:rsidR="000109AD" w:rsidRDefault="00BF00F3" w:rsidP="0004588E">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Bilgilerini ve İliniz dâhilindeki muhasebe birimlerine gerekli duyurunun yapılması hususunda gereğini arz ve rica ederim.</w:t>
      </w:r>
    </w:p>
    <w:p w:rsidR="00B96DBB" w:rsidRDefault="00B96DBB" w:rsidP="001C6F35">
      <w:pPr>
        <w:spacing w:line="240" w:lineRule="auto"/>
        <w:jc w:val="both"/>
        <w:rPr>
          <w:rFonts w:ascii="Times New Roman" w:hAnsi="Times New Roman" w:cs="Times New Roman"/>
          <w:sz w:val="24"/>
          <w:szCs w:val="24"/>
        </w:rPr>
      </w:pPr>
    </w:p>
    <w:p w:rsidR="0004588E" w:rsidRDefault="0004588E" w:rsidP="001C6F35">
      <w:pPr>
        <w:spacing w:line="240" w:lineRule="auto"/>
        <w:jc w:val="both"/>
        <w:rPr>
          <w:rFonts w:ascii="Times New Roman" w:hAnsi="Times New Roman" w:cs="Times New Roman"/>
          <w:sz w:val="24"/>
          <w:szCs w:val="24"/>
        </w:rPr>
      </w:pPr>
    </w:p>
    <w:p w:rsidR="0004588E" w:rsidRDefault="0004588E"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tbl>
            <w:tblPr>
              <w:tblW w:w="0" w:type="auto"/>
              <w:jc w:val="right"/>
              <w:tblLook w:val="04A0" w:firstRow="1" w:lastRow="0" w:firstColumn="1" w:lastColumn="0" w:noHBand="0" w:noVBand="1"/>
            </w:tblPr>
            <w:tblGrid>
              <w:gridCol w:w="1796"/>
            </w:tblGrid>
            <w:tr w:rsidR="000109AD">
              <w:trPr>
                <w:jc w:val="right"/>
              </w:trPr>
              <w:tc>
                <w:tcPr>
                  <w:tcW w:w="0" w:type="auto"/>
                </w:tcPr>
                <w:p w:rsidR="000109AD" w:rsidRDefault="00BF00F3" w:rsidP="0004588E">
                  <w:pPr>
                    <w:spacing w:line="240" w:lineRule="auto"/>
                    <w:jc w:val="center"/>
                    <w:rPr>
                      <w:rFonts w:ascii="Times New Roman" w:hAnsi="Times New Roman" w:cs="Times New Roman"/>
                      <w:sz w:val="24"/>
                      <w:szCs w:val="24"/>
                    </w:rPr>
                  </w:pPr>
                  <w:r>
                    <w:rPr>
                      <w:rFonts w:ascii="Times New Roman" w:hAnsi="Times New Roman" w:cs="Times New Roman"/>
                      <w:i/>
                      <w:color w:val="808080"/>
                      <w:sz w:val="24"/>
                      <w:szCs w:val="24"/>
                    </w:rPr>
                    <w:t>(e-İmzalıdır)</w:t>
                  </w:r>
                  <w:r>
                    <w:rPr>
                      <w:rFonts w:ascii="Times New Roman" w:hAnsi="Times New Roman" w:cs="Times New Roman"/>
                      <w:sz w:val="24"/>
                      <w:szCs w:val="24"/>
                    </w:rPr>
                    <w:br/>
                    <w:t>Yunus ELİTAŞ</w:t>
                  </w:r>
                  <w:r>
                    <w:rPr>
                      <w:rFonts w:ascii="Times New Roman" w:hAnsi="Times New Roman" w:cs="Times New Roman"/>
                      <w:sz w:val="24"/>
                      <w:szCs w:val="24"/>
                    </w:rPr>
                    <w:br/>
                    <w:t>Bakan a.</w:t>
                  </w:r>
                  <w:r>
                    <w:rPr>
                      <w:rFonts w:ascii="Times New Roman" w:hAnsi="Times New Roman" w:cs="Times New Roman"/>
                      <w:sz w:val="24"/>
                      <w:szCs w:val="24"/>
                    </w:rPr>
                    <w:br/>
                    <w:t>Genel Müdür V.</w:t>
                  </w:r>
                </w:p>
              </w:tc>
            </w:tr>
          </w:tbl>
          <w:p w:rsidR="00E40867" w:rsidRDefault="005F7E8D"/>
        </w:tc>
      </w:tr>
    </w:tbl>
    <w:p w:rsidR="00B96DBB" w:rsidRDefault="00B96DBB" w:rsidP="001C6F35">
      <w:pPr>
        <w:spacing w:line="240" w:lineRule="auto"/>
        <w:rPr>
          <w:rFonts w:ascii="Times New Roman" w:hAnsi="Times New Roman" w:cs="Times New Roman"/>
          <w:sz w:val="24"/>
          <w:szCs w:val="24"/>
        </w:rPr>
      </w:pPr>
    </w:p>
    <w:p w:rsidR="0004588E" w:rsidRDefault="0004588E" w:rsidP="001C6F35">
      <w:pPr>
        <w:spacing w:line="240" w:lineRule="auto"/>
        <w:rPr>
          <w:rFonts w:ascii="Times New Roman" w:hAnsi="Times New Roman" w:cs="Times New Roman"/>
          <w:sz w:val="24"/>
          <w:szCs w:val="24"/>
        </w:rPr>
      </w:pPr>
    </w:p>
    <w:p w:rsidR="0004588E" w:rsidRDefault="0004588E"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DAĞITIM :</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0109AD" w:rsidRDefault="00BF00F3">
            <w:pPr>
              <w:rPr>
                <w:rFonts w:ascii="Times New Roman" w:hAnsi="Times New Roman" w:cs="Times New Roman"/>
                <w:sz w:val="24"/>
                <w:szCs w:val="24"/>
              </w:rPr>
            </w:pPr>
            <w:r>
              <w:rPr>
                <w:rFonts w:ascii="Times New Roman" w:hAnsi="Times New Roman" w:cs="Times New Roman"/>
                <w:sz w:val="24"/>
                <w:szCs w:val="24"/>
              </w:rPr>
              <w:t>81 İl Valiliğine (Defterdarlık)</w:t>
            </w:r>
            <w:r>
              <w:rPr>
                <w:rFonts w:ascii="Times New Roman" w:hAnsi="Times New Roman" w:cs="Times New Roman"/>
                <w:sz w:val="24"/>
                <w:szCs w:val="24"/>
              </w:rPr>
              <w:br/>
              <w:t>Merkez Saymanlık Müdürlüklerine</w:t>
            </w:r>
          </w:p>
        </w:tc>
        <w:tc>
          <w:tcPr>
            <w:tcW w:w="4606" w:type="dxa"/>
          </w:tcPr>
          <w:p w:rsidR="000109AD" w:rsidRDefault="00BF00F3">
            <w:pPr>
              <w:rPr>
                <w:rFonts w:ascii="Times New Roman" w:hAnsi="Times New Roman" w:cs="Times New Roman"/>
                <w:sz w:val="24"/>
                <w:szCs w:val="24"/>
              </w:rPr>
            </w:pPr>
            <w:r>
              <w:rPr>
                <w:rFonts w:ascii="Times New Roman" w:hAnsi="Times New Roman" w:cs="Times New Roman"/>
                <w:sz w:val="24"/>
                <w:szCs w:val="24"/>
              </w:rPr>
              <w:t>Milli Eğitim Bakanlığına</w:t>
            </w:r>
            <w:r>
              <w:rPr>
                <w:rFonts w:ascii="Times New Roman" w:hAnsi="Times New Roman" w:cs="Times New Roman"/>
                <w:sz w:val="24"/>
                <w:szCs w:val="24"/>
              </w:rPr>
              <w:br/>
              <w:t>(Strateji Geliştirme Başkanlığı)</w:t>
            </w:r>
            <w:r>
              <w:rPr>
                <w:rFonts w:ascii="Times New Roman" w:hAnsi="Times New Roman" w:cs="Times New Roman"/>
                <w:sz w:val="24"/>
                <w:szCs w:val="24"/>
              </w:rPr>
              <w:br/>
              <w:t>Dışişleri Bakanlığına</w:t>
            </w:r>
            <w:r>
              <w:rPr>
                <w:rFonts w:ascii="Times New Roman" w:hAnsi="Times New Roman" w:cs="Times New Roman"/>
                <w:sz w:val="24"/>
                <w:szCs w:val="24"/>
              </w:rPr>
              <w:br/>
              <w:t>(Avrupa Birliği Başkanlığı)</w:t>
            </w:r>
          </w:p>
        </w:tc>
      </w:tr>
    </w:tbl>
    <w:p w:rsidR="000949FD" w:rsidRDefault="000949FD" w:rsidP="001C6F35">
      <w:pPr>
        <w:spacing w:line="240" w:lineRule="auto"/>
        <w:rPr>
          <w:rFonts w:ascii="Times New Roman" w:hAnsi="Times New Roman" w:cs="Times New Roman"/>
          <w:sz w:val="24"/>
          <w:szCs w:val="24"/>
        </w:rPr>
      </w:pPr>
    </w:p>
    <w:sectPr w:rsidR="000949FD" w:rsidSect="00CE19FA">
      <w:footerReference w:type="default" r:id="rId7"/>
      <w:pgSz w:w="11906" w:h="16838"/>
      <w:pgMar w:top="1417" w:right="1417" w:bottom="1417" w:left="1417" w:header="708" w:footer="100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8D" w:rsidRDefault="005F7E8D" w:rsidP="00B96DBB">
      <w:pPr>
        <w:spacing w:line="240" w:lineRule="auto"/>
      </w:pPr>
      <w:r>
        <w:separator/>
      </w:r>
    </w:p>
  </w:endnote>
  <w:endnote w:type="continuationSeparator" w:id="0">
    <w:p w:rsidR="005F7E8D" w:rsidRDefault="005F7E8D"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013" w:rsidRPr="00A52013" w:rsidRDefault="00A52013" w:rsidP="00A52013">
    <w:pPr>
      <w:pStyle w:val="AltBilgi"/>
      <w:jc w:val="center"/>
      <w:rPr>
        <w:rFonts w:ascii="Times New Roman" w:hAnsi="Times New Roman" w:cs="Times New Roman"/>
        <w:color w:val="000000" w:themeColor="text1"/>
        <w:sz w:val="20"/>
        <w:szCs w:val="20"/>
      </w:rPr>
    </w:pPr>
  </w:p>
  <w:p w:rsidR="000109AD" w:rsidRDefault="00BF00F3">
    <w:pPr>
      <w:spacing w:line="240" w:lineRule="auto"/>
      <w:rPr>
        <w:rFonts w:ascii="Times New Roman" w:hAnsi="Times New Roman" w:cs="Times New Roman"/>
        <w:sz w:val="20"/>
        <w:szCs w:val="20"/>
      </w:rPr>
    </w:pPr>
    <w:r>
      <w:rPr>
        <w:rFonts w:ascii="Times New Roman" w:hAnsi="Times New Roman" w:cs="Times New Roman"/>
        <w:sz w:val="20"/>
        <w:szCs w:val="20"/>
      </w:rPr>
      <w:t xml:space="preserve">*Bu belge elektronik imzalıdır. İmzalı suretinin aslını görmek için https://evrakdogrulama.muhasebat.gov.tr adresine girerek </w:t>
    </w:r>
    <w:r>
      <w:rPr>
        <w:rFonts w:ascii="Courier New" w:hAnsi="Courier New" w:cs="Courier New"/>
        <w:sz w:val="20"/>
        <w:szCs w:val="20"/>
      </w:rPr>
      <w:t>(bYUMqH-WibVE2-RsvrOf-W2TGk7-sGp9xGNi)</w:t>
    </w:r>
    <w:r>
      <w:rPr>
        <w:rFonts w:ascii="Times New Roman" w:hAnsi="Times New Roman" w:cs="Times New Roman"/>
        <w:sz w:val="20"/>
        <w:szCs w:val="20"/>
      </w:rPr>
      <w:t xml:space="preserve"> kodunu yazınız.</w:t>
    </w:r>
  </w:p>
  <w:p w:rsidR="004A1E92" w:rsidRPr="00A52013" w:rsidRDefault="00182DA1">
    <w:pPr>
      <w:pStyle w:val="AltBilgi"/>
      <w:rPr>
        <w:rFonts w:ascii="Times New Roman" w:hAnsi="Times New Roman" w:cs="Times New Roman"/>
        <w:sz w:val="24"/>
        <w:szCs w:val="24"/>
      </w:rPr>
    </w:pPr>
    <w:r w:rsidRPr="00A52013">
      <w:rPr>
        <w:rFonts w:ascii="Times New Roman" w:hAnsi="Times New Roman" w:cs="Times New Roman"/>
        <w:sz w:val="24"/>
        <w:szCs w:val="24"/>
      </w:rPr>
      <w:t>-----------------------------------------------------------------------------------------------------------------</w:t>
    </w:r>
  </w:p>
  <w:tbl>
    <w:tblPr>
      <w:tblW w:w="5000" w:type="pct"/>
      <w:tblLook w:val="04A0" w:firstRow="1" w:lastRow="0" w:firstColumn="1" w:lastColumn="0" w:noHBand="0" w:noVBand="1"/>
    </w:tblPr>
    <w:tblGrid>
      <w:gridCol w:w="5864"/>
      <w:gridCol w:w="3208"/>
    </w:tblGrid>
    <w:tr w:rsidR="000109AD">
      <w:tc>
        <w:tcPr>
          <w:tcW w:w="0" w:type="auto"/>
        </w:tcPr>
        <w:p w:rsidR="000109AD" w:rsidRDefault="00BF00F3">
          <w:pPr>
            <w:keepNext/>
            <w:spacing w:line="240" w:lineRule="auto"/>
            <w:rPr>
              <w:rFonts w:ascii="Times New Roman" w:hAnsi="Times New Roman" w:cs="Times New Roman"/>
              <w:sz w:val="24"/>
              <w:szCs w:val="24"/>
            </w:rPr>
          </w:pPr>
          <w:r>
            <w:rPr>
              <w:rFonts w:ascii="Times New Roman" w:hAnsi="Times New Roman" w:cs="Times New Roman"/>
              <w:sz w:val="15"/>
              <w:szCs w:val="15"/>
            </w:rPr>
            <w:t>Dikmen Caddesi Merasim Sokak 06100 Dikmen/Ankara</w:t>
          </w:r>
          <w:r>
            <w:rPr>
              <w:rFonts w:ascii="Times New Roman" w:hAnsi="Times New Roman" w:cs="Times New Roman"/>
              <w:sz w:val="24"/>
              <w:szCs w:val="24"/>
            </w:rPr>
            <w:br/>
          </w:r>
          <w:r>
            <w:rPr>
              <w:rFonts w:ascii="Times New Roman" w:hAnsi="Times New Roman" w:cs="Times New Roman"/>
              <w:sz w:val="15"/>
              <w:szCs w:val="15"/>
            </w:rPr>
            <w:t>Telefon: (312) 415 26 51 Faks: (312) 419 45 53</w:t>
          </w:r>
          <w:r>
            <w:rPr>
              <w:rFonts w:ascii="Times New Roman" w:hAnsi="Times New Roman" w:cs="Times New Roman"/>
              <w:sz w:val="24"/>
              <w:szCs w:val="24"/>
            </w:rPr>
            <w:br/>
          </w:r>
          <w:r>
            <w:rPr>
              <w:rFonts w:ascii="Times New Roman" w:hAnsi="Times New Roman" w:cs="Times New Roman"/>
              <w:sz w:val="15"/>
              <w:szCs w:val="15"/>
            </w:rPr>
            <w:t xml:space="preserve">e-posta: </w:t>
          </w:r>
          <w:r>
            <w:rPr>
              <w:rFonts w:ascii="Times New Roman" w:hAnsi="Times New Roman" w:cs="Times New Roman"/>
              <w:sz w:val="15"/>
              <w:szCs w:val="15"/>
              <w:u w:val="single"/>
            </w:rPr>
            <w:t>mislemler@muhasebat.gov.tr</w:t>
          </w:r>
          <w:r>
            <w:rPr>
              <w:rFonts w:ascii="Times New Roman" w:hAnsi="Times New Roman" w:cs="Times New Roman"/>
              <w:sz w:val="15"/>
              <w:szCs w:val="15"/>
            </w:rPr>
            <w:t xml:space="preserve"> Elektronik Ağ: </w:t>
          </w:r>
          <w:r>
            <w:rPr>
              <w:rFonts w:ascii="Times New Roman" w:hAnsi="Times New Roman" w:cs="Times New Roman"/>
              <w:sz w:val="15"/>
              <w:szCs w:val="15"/>
              <w:u w:val="single"/>
            </w:rPr>
            <w:t>www.hmb.gov.tr</w:t>
          </w:r>
        </w:p>
      </w:tc>
      <w:tc>
        <w:tcPr>
          <w:tcW w:w="0" w:type="auto"/>
        </w:tcPr>
        <w:p w:rsidR="000109AD" w:rsidRDefault="00BF00F3">
          <w:pPr>
            <w:keepNext/>
            <w:spacing w:line="240" w:lineRule="auto"/>
            <w:jc w:val="right"/>
            <w:rPr>
              <w:rFonts w:ascii="Times New Roman" w:hAnsi="Times New Roman" w:cs="Times New Roman"/>
              <w:sz w:val="24"/>
              <w:szCs w:val="24"/>
            </w:rPr>
          </w:pPr>
          <w:r>
            <w:rPr>
              <w:rFonts w:ascii="Times New Roman" w:hAnsi="Times New Roman" w:cs="Times New Roman"/>
              <w:sz w:val="15"/>
              <w:szCs w:val="15"/>
            </w:rPr>
            <w:t>Bilgi için: Gökhan MANAP</w:t>
          </w:r>
          <w:r>
            <w:rPr>
              <w:rFonts w:ascii="Times New Roman" w:hAnsi="Times New Roman" w:cs="Times New Roman"/>
              <w:sz w:val="24"/>
              <w:szCs w:val="24"/>
            </w:rPr>
            <w:br/>
          </w:r>
          <w:r>
            <w:rPr>
              <w:rFonts w:ascii="Times New Roman" w:hAnsi="Times New Roman" w:cs="Times New Roman"/>
              <w:sz w:val="15"/>
              <w:szCs w:val="15"/>
            </w:rPr>
            <w:t>Hazine ve Maliye Uzman Yardımcısı</w:t>
          </w:r>
          <w:r>
            <w:rPr>
              <w:rFonts w:ascii="Times New Roman" w:hAnsi="Times New Roman" w:cs="Times New Roman"/>
              <w:sz w:val="24"/>
              <w:szCs w:val="24"/>
            </w:rPr>
            <w:br/>
          </w:r>
        </w:p>
      </w:tc>
    </w:tr>
  </w:tbl>
  <w:p w:rsidR="00E574F6" w:rsidRPr="00A52013" w:rsidRDefault="005F7E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8D" w:rsidRDefault="005F7E8D" w:rsidP="00B96DBB">
      <w:pPr>
        <w:spacing w:line="240" w:lineRule="auto"/>
      </w:pPr>
      <w:r>
        <w:separator/>
      </w:r>
    </w:p>
  </w:footnote>
  <w:footnote w:type="continuationSeparator" w:id="0">
    <w:p w:rsidR="005F7E8D" w:rsidRDefault="005F7E8D" w:rsidP="00B96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2A7"/>
    <w:multiLevelType w:val="singleLevel"/>
    <w:tmpl w:val="E2DA52B4"/>
    <w:lvl w:ilvl="0">
      <w:start w:val="1"/>
      <w:numFmt w:val="lowerLetter"/>
      <w:lvlText w:val="%1."/>
      <w:lvlJc w:val="left"/>
      <w:pPr>
        <w:ind w:left="420" w:hanging="360"/>
      </w:pPr>
    </w:lvl>
  </w:abstractNum>
  <w:abstractNum w:abstractNumId="1" w15:restartNumberingAfterBreak="0">
    <w:nsid w:val="22AC60C9"/>
    <w:multiLevelType w:val="singleLevel"/>
    <w:tmpl w:val="93E8AD7E"/>
    <w:lvl w:ilvl="0">
      <w:start w:val="1"/>
      <w:numFmt w:val="upperRoman"/>
      <w:lvlText w:val="%1."/>
      <w:lvlJc w:val="left"/>
      <w:pPr>
        <w:ind w:left="420" w:hanging="360"/>
      </w:pPr>
    </w:lvl>
  </w:abstractNum>
  <w:abstractNum w:abstractNumId="2" w15:restartNumberingAfterBreak="0">
    <w:nsid w:val="2E24599E"/>
    <w:multiLevelType w:val="singleLevel"/>
    <w:tmpl w:val="B0764258"/>
    <w:lvl w:ilvl="0">
      <w:start w:val="1"/>
      <w:numFmt w:val="lowerRoman"/>
      <w:lvlText w:val="%1."/>
      <w:lvlJc w:val="left"/>
      <w:pPr>
        <w:ind w:left="420" w:hanging="360"/>
      </w:pPr>
    </w:lvl>
  </w:abstractNum>
  <w:abstractNum w:abstractNumId="3" w15:restartNumberingAfterBreak="0">
    <w:nsid w:val="34A37C1D"/>
    <w:multiLevelType w:val="singleLevel"/>
    <w:tmpl w:val="6E2CFDD6"/>
    <w:lvl w:ilvl="0">
      <w:numFmt w:val="bullet"/>
      <w:lvlText w:val="•"/>
      <w:lvlJc w:val="left"/>
      <w:pPr>
        <w:ind w:left="420" w:hanging="360"/>
      </w:pPr>
    </w:lvl>
  </w:abstractNum>
  <w:abstractNum w:abstractNumId="4" w15:restartNumberingAfterBreak="0">
    <w:nsid w:val="3EB26DAF"/>
    <w:multiLevelType w:val="singleLevel"/>
    <w:tmpl w:val="27D0A71E"/>
    <w:lvl w:ilvl="0">
      <w:numFmt w:val="bullet"/>
      <w:lvlText w:val="■"/>
      <w:lvlJc w:val="left"/>
      <w:pPr>
        <w:ind w:left="420" w:hanging="360"/>
      </w:pPr>
    </w:lvl>
  </w:abstractNum>
  <w:abstractNum w:abstractNumId="5" w15:restartNumberingAfterBreak="0">
    <w:nsid w:val="51101A0E"/>
    <w:multiLevelType w:val="singleLevel"/>
    <w:tmpl w:val="9A08B56C"/>
    <w:lvl w:ilvl="0">
      <w:start w:val="1"/>
      <w:numFmt w:val="decimal"/>
      <w:lvlText w:val="%1."/>
      <w:lvlJc w:val="left"/>
      <w:pPr>
        <w:ind w:left="420" w:hanging="360"/>
      </w:pPr>
    </w:lvl>
  </w:abstractNum>
  <w:abstractNum w:abstractNumId="6" w15:restartNumberingAfterBreak="0">
    <w:nsid w:val="521B24F5"/>
    <w:multiLevelType w:val="singleLevel"/>
    <w:tmpl w:val="040490B2"/>
    <w:lvl w:ilvl="0">
      <w:numFmt w:val="bullet"/>
      <w:lvlText w:val="o"/>
      <w:lvlJc w:val="left"/>
      <w:pPr>
        <w:ind w:left="420" w:hanging="360"/>
      </w:pPr>
    </w:lvl>
  </w:abstractNum>
  <w:abstractNum w:abstractNumId="7" w15:restartNumberingAfterBreak="0">
    <w:nsid w:val="54116490"/>
    <w:multiLevelType w:val="singleLevel"/>
    <w:tmpl w:val="5CAEF9F8"/>
    <w:lvl w:ilvl="0">
      <w:start w:val="1"/>
      <w:numFmt w:val="upperLetter"/>
      <w:lvlText w:val="%1."/>
      <w:lvlJc w:val="left"/>
      <w:pPr>
        <w:ind w:left="4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109AD"/>
    <w:rsid w:val="0004588E"/>
    <w:rsid w:val="000949FD"/>
    <w:rsid w:val="000B48D0"/>
    <w:rsid w:val="00182DA1"/>
    <w:rsid w:val="001C6654"/>
    <w:rsid w:val="001C6F35"/>
    <w:rsid w:val="0041093C"/>
    <w:rsid w:val="005F7E8D"/>
    <w:rsid w:val="0072719D"/>
    <w:rsid w:val="00A52013"/>
    <w:rsid w:val="00AF2596"/>
    <w:rsid w:val="00B81885"/>
    <w:rsid w:val="00B96DBB"/>
    <w:rsid w:val="00BF00F3"/>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5A313-45CE-493D-B838-8803AD16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7787</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AVCI</dc:creator>
  <cp:lastModifiedBy>Arif Bulut</cp:lastModifiedBy>
  <cp:revision>2</cp:revision>
  <dcterms:created xsi:type="dcterms:W3CDTF">2019-03-18T07:12:00Z</dcterms:created>
  <dcterms:modified xsi:type="dcterms:W3CDTF">2019-03-18T07:12:00Z</dcterms:modified>
</cp:coreProperties>
</file>