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0D0" w:rsidRPr="00BB00D0" w:rsidRDefault="00BB00D0" w:rsidP="00BB00D0">
      <w:pPr>
        <w:shd w:val="clear" w:color="auto" w:fill="FFFFFF"/>
        <w:spacing w:after="0" w:line="240" w:lineRule="auto"/>
        <w:ind w:firstLine="567"/>
        <w:jc w:val="center"/>
        <w:rPr>
          <w:rFonts w:ascii="Calibri" w:eastAsia="Times New Roman" w:hAnsi="Calibri" w:cs="Times New Roman"/>
          <w:color w:val="1C283D"/>
          <w:lang w:eastAsia="tr-TR"/>
        </w:rPr>
      </w:pPr>
      <w:r w:rsidRPr="00BB00D0">
        <w:rPr>
          <w:rFonts w:ascii="Calibri" w:eastAsia="Times New Roman" w:hAnsi="Calibri" w:cs="Times New Roman"/>
          <w:b/>
          <w:bCs/>
          <w:color w:val="1C283D"/>
          <w:lang w:eastAsia="tr-TR"/>
        </w:rPr>
        <w:t>Stratejik Planlama Süreci</w:t>
      </w:r>
    </w:p>
    <w:p w:rsidR="00BB00D0" w:rsidRPr="00BB00D0" w:rsidRDefault="00BB00D0" w:rsidP="00BB00D0">
      <w:pPr>
        <w:shd w:val="clear" w:color="auto" w:fill="FFFFFF"/>
        <w:spacing w:after="0" w:line="240" w:lineRule="auto"/>
        <w:ind w:firstLine="567"/>
        <w:jc w:val="both"/>
        <w:rPr>
          <w:rFonts w:ascii="Calibri" w:eastAsia="Times New Roman" w:hAnsi="Calibri" w:cs="Times New Roman"/>
          <w:color w:val="1C283D"/>
          <w:lang w:eastAsia="tr-TR"/>
        </w:rPr>
      </w:pPr>
      <w:r w:rsidRPr="00BB00D0">
        <w:rPr>
          <w:rFonts w:ascii="Calibri" w:eastAsia="Times New Roman" w:hAnsi="Calibri" w:cs="Times New Roman"/>
          <w:b/>
          <w:bCs/>
          <w:color w:val="1C283D"/>
          <w:lang w:eastAsia="tr-TR"/>
        </w:rPr>
        <w:t>Stratejik planların hazırlanması</w:t>
      </w:r>
    </w:p>
    <w:p w:rsidR="00BB00D0" w:rsidRPr="00BB00D0" w:rsidRDefault="00BB00D0" w:rsidP="00BB00D0">
      <w:pPr>
        <w:shd w:val="clear" w:color="auto" w:fill="FFFFFF"/>
        <w:spacing w:after="0" w:line="240" w:lineRule="auto"/>
        <w:ind w:firstLine="567"/>
        <w:jc w:val="both"/>
        <w:rPr>
          <w:rFonts w:ascii="Calibri" w:eastAsia="Times New Roman" w:hAnsi="Calibri" w:cs="Times New Roman"/>
          <w:color w:val="1C283D"/>
          <w:lang w:eastAsia="tr-TR"/>
        </w:rPr>
      </w:pPr>
      <w:r w:rsidRPr="00BB00D0">
        <w:rPr>
          <w:rFonts w:ascii="Calibri" w:eastAsia="Times New Roman" w:hAnsi="Calibri" w:cs="Times New Roman"/>
          <w:b/>
          <w:bCs/>
          <w:color w:val="1C283D"/>
          <w:lang w:eastAsia="tr-TR"/>
        </w:rPr>
        <w:t>MADDE 8 –</w:t>
      </w:r>
      <w:r w:rsidRPr="00BB00D0">
        <w:rPr>
          <w:rFonts w:ascii="Calibri" w:eastAsia="Times New Roman" w:hAnsi="Calibri" w:cs="Times New Roman"/>
          <w:color w:val="1C283D"/>
          <w:lang w:eastAsia="tr-TR"/>
        </w:rPr>
        <w:t> (1) Stratejik plan hazırlık süreci, stratejik plan genelgesinin yayımı ile başlatılır. Genelgede;</w:t>
      </w:r>
    </w:p>
    <w:p w:rsidR="00BB00D0" w:rsidRPr="00BB00D0" w:rsidRDefault="00BB00D0" w:rsidP="00BB00D0">
      <w:pPr>
        <w:shd w:val="clear" w:color="auto" w:fill="FFFFFF"/>
        <w:spacing w:after="0" w:line="240" w:lineRule="auto"/>
        <w:ind w:firstLine="567"/>
        <w:jc w:val="both"/>
        <w:rPr>
          <w:rFonts w:ascii="Calibri" w:eastAsia="Times New Roman" w:hAnsi="Calibri" w:cs="Times New Roman"/>
          <w:color w:val="1C283D"/>
          <w:lang w:eastAsia="tr-TR"/>
        </w:rPr>
      </w:pPr>
      <w:r w:rsidRPr="00BB00D0">
        <w:rPr>
          <w:rFonts w:ascii="Calibri" w:eastAsia="Times New Roman" w:hAnsi="Calibri" w:cs="Times New Roman"/>
          <w:color w:val="1C283D"/>
          <w:lang w:eastAsia="tr-TR"/>
        </w:rPr>
        <w:t>a) Çalışmaların üst düzeyde sahiplenildiği ve takibinin yapılacağı hususuna,</w:t>
      </w:r>
    </w:p>
    <w:p w:rsidR="00BB00D0" w:rsidRPr="00BB00D0" w:rsidRDefault="00BB00D0" w:rsidP="00BB00D0">
      <w:pPr>
        <w:shd w:val="clear" w:color="auto" w:fill="FFFFFF"/>
        <w:spacing w:after="0" w:line="240" w:lineRule="auto"/>
        <w:ind w:firstLine="567"/>
        <w:jc w:val="both"/>
        <w:rPr>
          <w:rFonts w:ascii="Calibri" w:eastAsia="Times New Roman" w:hAnsi="Calibri" w:cs="Times New Roman"/>
          <w:color w:val="1C283D"/>
          <w:lang w:eastAsia="tr-TR"/>
        </w:rPr>
      </w:pPr>
      <w:r w:rsidRPr="00BB00D0">
        <w:rPr>
          <w:rFonts w:ascii="Calibri" w:eastAsia="Times New Roman" w:hAnsi="Calibri" w:cs="Times New Roman"/>
          <w:color w:val="1C283D"/>
          <w:lang w:eastAsia="tr-TR"/>
        </w:rPr>
        <w:t>b) Çalışmaların strateji geliştirme biriminin koordinasyonunda yürütüleceği hususuna,</w:t>
      </w:r>
    </w:p>
    <w:p w:rsidR="00BB00D0" w:rsidRPr="00BB00D0" w:rsidRDefault="00BB00D0" w:rsidP="00BB00D0">
      <w:pPr>
        <w:shd w:val="clear" w:color="auto" w:fill="FFFFFF"/>
        <w:spacing w:after="0" w:line="240" w:lineRule="auto"/>
        <w:ind w:firstLine="567"/>
        <w:jc w:val="both"/>
        <w:rPr>
          <w:rFonts w:ascii="Calibri" w:eastAsia="Times New Roman" w:hAnsi="Calibri" w:cs="Times New Roman"/>
          <w:color w:val="1C283D"/>
          <w:lang w:eastAsia="tr-TR"/>
        </w:rPr>
      </w:pPr>
      <w:r w:rsidRPr="00BB00D0">
        <w:rPr>
          <w:rFonts w:ascii="Calibri" w:eastAsia="Times New Roman" w:hAnsi="Calibri" w:cs="Times New Roman"/>
          <w:color w:val="1C283D"/>
          <w:lang w:eastAsia="tr-TR"/>
        </w:rPr>
        <w:t>c) Stratejik planlama ekibine ve kurulması halinde alt çalışma gruplarına harcama birimlerince üyelerin görevlendirilmesi gerektiği hususuna,</w:t>
      </w:r>
    </w:p>
    <w:p w:rsidR="00BB00D0" w:rsidRPr="00BB00D0" w:rsidRDefault="00BB00D0" w:rsidP="00BB00D0">
      <w:pPr>
        <w:shd w:val="clear" w:color="auto" w:fill="FFFFFF"/>
        <w:spacing w:after="0" w:line="240" w:lineRule="auto"/>
        <w:ind w:firstLine="567"/>
        <w:jc w:val="both"/>
        <w:rPr>
          <w:rFonts w:ascii="Calibri" w:eastAsia="Times New Roman" w:hAnsi="Calibri" w:cs="Times New Roman"/>
          <w:color w:val="1C283D"/>
          <w:lang w:eastAsia="tr-TR"/>
        </w:rPr>
      </w:pPr>
      <w:r w:rsidRPr="00BB00D0">
        <w:rPr>
          <w:rFonts w:ascii="Calibri" w:eastAsia="Times New Roman" w:hAnsi="Calibri" w:cs="Times New Roman"/>
          <w:color w:val="1C283D"/>
          <w:lang w:eastAsia="tr-TR"/>
        </w:rPr>
        <w:t>ç) Strateji Geliştirme Kurulu üyelerine,</w:t>
      </w:r>
    </w:p>
    <w:p w:rsidR="00BB00D0" w:rsidRPr="00BB00D0" w:rsidRDefault="00BB00D0" w:rsidP="00BB00D0">
      <w:pPr>
        <w:shd w:val="clear" w:color="auto" w:fill="FFFFFF"/>
        <w:spacing w:after="0" w:line="240" w:lineRule="auto"/>
        <w:ind w:firstLine="567"/>
        <w:jc w:val="both"/>
        <w:rPr>
          <w:rFonts w:ascii="Calibri" w:eastAsia="Times New Roman" w:hAnsi="Calibri" w:cs="Times New Roman"/>
          <w:color w:val="1C283D"/>
          <w:lang w:eastAsia="tr-TR"/>
        </w:rPr>
      </w:pPr>
      <w:proofErr w:type="gramStart"/>
      <w:r w:rsidRPr="00BB00D0">
        <w:rPr>
          <w:rFonts w:ascii="Calibri" w:eastAsia="Times New Roman" w:hAnsi="Calibri" w:cs="Times New Roman"/>
          <w:color w:val="1C283D"/>
          <w:lang w:eastAsia="tr-TR"/>
        </w:rPr>
        <w:t>yer</w:t>
      </w:r>
      <w:proofErr w:type="gramEnd"/>
      <w:r w:rsidRPr="00BB00D0">
        <w:rPr>
          <w:rFonts w:ascii="Calibri" w:eastAsia="Times New Roman" w:hAnsi="Calibri" w:cs="Times New Roman"/>
          <w:color w:val="1C283D"/>
          <w:lang w:eastAsia="tr-TR"/>
        </w:rPr>
        <w:t xml:space="preserve"> verilir.</w:t>
      </w:r>
    </w:p>
    <w:p w:rsidR="00BB00D0" w:rsidRPr="00BB00D0" w:rsidRDefault="00BB00D0" w:rsidP="00BB00D0">
      <w:pPr>
        <w:shd w:val="clear" w:color="auto" w:fill="FFFFFF"/>
        <w:spacing w:after="0" w:line="240" w:lineRule="auto"/>
        <w:ind w:firstLine="567"/>
        <w:jc w:val="both"/>
        <w:rPr>
          <w:rFonts w:ascii="Calibri" w:eastAsia="Times New Roman" w:hAnsi="Calibri" w:cs="Times New Roman"/>
          <w:color w:val="1C283D"/>
          <w:lang w:eastAsia="tr-TR"/>
        </w:rPr>
      </w:pPr>
      <w:r w:rsidRPr="00BB00D0">
        <w:rPr>
          <w:rFonts w:ascii="Calibri" w:eastAsia="Times New Roman" w:hAnsi="Calibri" w:cs="Times New Roman"/>
          <w:color w:val="1C283D"/>
          <w:lang w:eastAsia="tr-TR"/>
        </w:rPr>
        <w:t>(2) Stratejik planlama ekibinde harcama birimlerinin aktif biçimde temsil edilmesi zorunludur.</w:t>
      </w:r>
    </w:p>
    <w:p w:rsidR="00BB00D0" w:rsidRPr="00BB00D0" w:rsidRDefault="00BB00D0" w:rsidP="00BB00D0">
      <w:pPr>
        <w:shd w:val="clear" w:color="auto" w:fill="FFFFFF"/>
        <w:spacing w:after="0" w:line="240" w:lineRule="auto"/>
        <w:ind w:firstLine="567"/>
        <w:jc w:val="both"/>
        <w:rPr>
          <w:rFonts w:ascii="Calibri" w:eastAsia="Times New Roman" w:hAnsi="Calibri" w:cs="Times New Roman"/>
          <w:color w:val="1C283D"/>
          <w:lang w:eastAsia="tr-TR"/>
        </w:rPr>
      </w:pPr>
      <w:r w:rsidRPr="00BB00D0">
        <w:rPr>
          <w:rFonts w:ascii="Calibri" w:eastAsia="Times New Roman" w:hAnsi="Calibri" w:cs="Times New Roman"/>
          <w:color w:val="1C283D"/>
          <w:lang w:eastAsia="tr-TR"/>
        </w:rPr>
        <w:t>(3) Stratejik plan genelgesinin yayımlanmasını müteakip iki ay içerisinde stratejik planlama ekibi aşağıdaki hususları içeren bir hazırlık programı oluşturur:</w:t>
      </w:r>
    </w:p>
    <w:p w:rsidR="00BB00D0" w:rsidRPr="00BB00D0" w:rsidRDefault="00BB00D0" w:rsidP="00BB00D0">
      <w:pPr>
        <w:shd w:val="clear" w:color="auto" w:fill="FFFFFF"/>
        <w:spacing w:after="0" w:line="240" w:lineRule="auto"/>
        <w:ind w:firstLine="567"/>
        <w:jc w:val="both"/>
        <w:rPr>
          <w:rFonts w:ascii="Calibri" w:eastAsia="Times New Roman" w:hAnsi="Calibri" w:cs="Times New Roman"/>
          <w:color w:val="1C283D"/>
          <w:lang w:eastAsia="tr-TR"/>
        </w:rPr>
      </w:pPr>
      <w:r w:rsidRPr="00BB00D0">
        <w:rPr>
          <w:rFonts w:ascii="Calibri" w:eastAsia="Times New Roman" w:hAnsi="Calibri" w:cs="Times New Roman"/>
          <w:color w:val="1C283D"/>
          <w:lang w:eastAsia="tr-TR"/>
        </w:rPr>
        <w:t>a) Stratejik planlama sürecinin aşamaları, bu aşamalarda gerçekleştirilecek faaliyetler ile bu faaliyetlerden sorumlu birim ve kişiler.</w:t>
      </w:r>
    </w:p>
    <w:p w:rsidR="00BB00D0" w:rsidRPr="00BB00D0" w:rsidRDefault="00BB00D0" w:rsidP="00BB00D0">
      <w:pPr>
        <w:shd w:val="clear" w:color="auto" w:fill="FFFFFF"/>
        <w:spacing w:after="0" w:line="240" w:lineRule="auto"/>
        <w:ind w:firstLine="567"/>
        <w:jc w:val="both"/>
        <w:rPr>
          <w:rFonts w:ascii="Calibri" w:eastAsia="Times New Roman" w:hAnsi="Calibri" w:cs="Times New Roman"/>
          <w:color w:val="1C283D"/>
          <w:lang w:eastAsia="tr-TR"/>
        </w:rPr>
      </w:pPr>
      <w:r w:rsidRPr="00BB00D0">
        <w:rPr>
          <w:rFonts w:ascii="Calibri" w:eastAsia="Times New Roman" w:hAnsi="Calibri" w:cs="Times New Roman"/>
          <w:color w:val="1C283D"/>
          <w:lang w:eastAsia="tr-TR"/>
        </w:rPr>
        <w:t>b) Aşama ve faaliyetlerin tamamlanacağı tarihleri gösteren zaman çizelgesi.</w:t>
      </w:r>
    </w:p>
    <w:p w:rsidR="00BB00D0" w:rsidRPr="00BB00D0" w:rsidRDefault="00BB00D0" w:rsidP="00BB00D0">
      <w:pPr>
        <w:shd w:val="clear" w:color="auto" w:fill="FFFFFF"/>
        <w:spacing w:after="0" w:line="240" w:lineRule="auto"/>
        <w:ind w:firstLine="567"/>
        <w:jc w:val="both"/>
        <w:rPr>
          <w:rFonts w:ascii="Calibri" w:eastAsia="Times New Roman" w:hAnsi="Calibri" w:cs="Times New Roman"/>
          <w:color w:val="1C283D"/>
          <w:lang w:eastAsia="tr-TR"/>
        </w:rPr>
      </w:pPr>
      <w:r w:rsidRPr="00BB00D0">
        <w:rPr>
          <w:rFonts w:ascii="Calibri" w:eastAsia="Times New Roman" w:hAnsi="Calibri" w:cs="Times New Roman"/>
          <w:color w:val="1C283D"/>
          <w:lang w:eastAsia="tr-TR"/>
        </w:rPr>
        <w:t>c) Stratejik planlama ekibi üyeleri.</w:t>
      </w:r>
    </w:p>
    <w:p w:rsidR="00BB00D0" w:rsidRPr="00BB00D0" w:rsidRDefault="00BB00D0" w:rsidP="00BB00D0">
      <w:pPr>
        <w:shd w:val="clear" w:color="auto" w:fill="FFFFFF"/>
        <w:spacing w:after="0" w:line="240" w:lineRule="auto"/>
        <w:ind w:firstLine="567"/>
        <w:jc w:val="both"/>
        <w:rPr>
          <w:rFonts w:ascii="Calibri" w:eastAsia="Times New Roman" w:hAnsi="Calibri" w:cs="Times New Roman"/>
          <w:color w:val="1C283D"/>
          <w:lang w:eastAsia="tr-TR"/>
        </w:rPr>
      </w:pPr>
      <w:r w:rsidRPr="00BB00D0">
        <w:rPr>
          <w:rFonts w:ascii="Calibri" w:eastAsia="Times New Roman" w:hAnsi="Calibri" w:cs="Times New Roman"/>
          <w:color w:val="1C283D"/>
          <w:lang w:eastAsia="tr-TR"/>
        </w:rPr>
        <w:t>(4) Hazırlık programı, üst yönetici tarafından idare içerisinde duyurulur ve Bakanlığa bilgi olarak gönderilir.</w:t>
      </w:r>
    </w:p>
    <w:p w:rsidR="00BB00D0" w:rsidRPr="00BB00D0" w:rsidRDefault="00BB00D0" w:rsidP="00BB00D0">
      <w:pPr>
        <w:shd w:val="clear" w:color="auto" w:fill="FFFFFF"/>
        <w:spacing w:after="0" w:line="240" w:lineRule="auto"/>
        <w:ind w:firstLine="567"/>
        <w:jc w:val="both"/>
        <w:rPr>
          <w:rFonts w:ascii="Calibri" w:eastAsia="Times New Roman" w:hAnsi="Calibri" w:cs="Times New Roman"/>
          <w:color w:val="1C283D"/>
          <w:lang w:eastAsia="tr-TR"/>
        </w:rPr>
      </w:pPr>
      <w:r w:rsidRPr="00BB00D0">
        <w:rPr>
          <w:rFonts w:ascii="Calibri" w:eastAsia="Times New Roman" w:hAnsi="Calibri" w:cs="Times New Roman"/>
          <w:color w:val="1C283D"/>
          <w:lang w:eastAsia="tr-TR"/>
        </w:rPr>
        <w:t>(5) Strateji Geliştirme Kurulu, stratejik planlama sürecinin ana aşamalarını ve çıktılarını kontrol eder.</w:t>
      </w:r>
    </w:p>
    <w:p w:rsidR="00BB00D0" w:rsidRPr="00BB00D0" w:rsidRDefault="00BB00D0" w:rsidP="00BB00D0">
      <w:pPr>
        <w:shd w:val="clear" w:color="auto" w:fill="FFFFFF"/>
        <w:spacing w:after="0" w:line="240" w:lineRule="auto"/>
        <w:ind w:firstLine="567"/>
        <w:jc w:val="both"/>
        <w:rPr>
          <w:rFonts w:ascii="Calibri" w:eastAsia="Times New Roman" w:hAnsi="Calibri" w:cs="Times New Roman"/>
          <w:color w:val="1C283D"/>
          <w:lang w:eastAsia="tr-TR"/>
        </w:rPr>
      </w:pPr>
      <w:r w:rsidRPr="00BB00D0">
        <w:rPr>
          <w:rFonts w:ascii="Calibri" w:eastAsia="Times New Roman" w:hAnsi="Calibri" w:cs="Times New Roman"/>
          <w:color w:val="1C283D"/>
          <w:lang w:eastAsia="tr-TR"/>
        </w:rPr>
        <w:t>(6) Stratejik planlar beş yıllık dönemi kapsar.</w:t>
      </w:r>
    </w:p>
    <w:p w:rsidR="00BB00D0" w:rsidRDefault="00BB00D0" w:rsidP="00BB00D0">
      <w:pPr>
        <w:shd w:val="clear" w:color="auto" w:fill="FFFFFF"/>
        <w:spacing w:after="0" w:line="240" w:lineRule="auto"/>
        <w:ind w:firstLine="567"/>
        <w:jc w:val="both"/>
        <w:rPr>
          <w:rFonts w:ascii="Calibri" w:eastAsia="Times New Roman" w:hAnsi="Calibri" w:cs="Times New Roman"/>
          <w:color w:val="1C283D"/>
          <w:lang w:eastAsia="tr-TR"/>
        </w:rPr>
      </w:pPr>
      <w:r w:rsidRPr="00BB00D0">
        <w:rPr>
          <w:rFonts w:ascii="Calibri" w:eastAsia="Times New Roman" w:hAnsi="Calibri" w:cs="Times New Roman"/>
          <w:color w:val="1C283D"/>
          <w:lang w:eastAsia="tr-TR"/>
        </w:rPr>
        <w:t xml:space="preserve">(7) Stratejik planlarını bu Yönetmelikte belirlenen takvime uygun olarak süresinde hazırlamayan kamu idareleri, </w:t>
      </w:r>
      <w:proofErr w:type="spellStart"/>
      <w:r w:rsidRPr="00BB00D0">
        <w:rPr>
          <w:rFonts w:ascii="Calibri" w:eastAsia="Times New Roman" w:hAnsi="Calibri" w:cs="Times New Roman"/>
          <w:color w:val="1C283D"/>
          <w:lang w:eastAsia="tr-TR"/>
        </w:rPr>
        <w:t>Sayıştaya</w:t>
      </w:r>
      <w:proofErr w:type="spellEnd"/>
      <w:r w:rsidRPr="00BB00D0">
        <w:rPr>
          <w:rFonts w:ascii="Calibri" w:eastAsia="Times New Roman" w:hAnsi="Calibri" w:cs="Times New Roman"/>
          <w:color w:val="1C283D"/>
          <w:lang w:eastAsia="tr-TR"/>
        </w:rPr>
        <w:t xml:space="preserve"> ve Türkiye Büyük Millet Meclisi Plan ve Bütçe Komisyonuna bildirilir.</w:t>
      </w: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BA7149" w:rsidRPr="00BB00D0" w:rsidRDefault="00BA7149" w:rsidP="00BB00D0">
      <w:pPr>
        <w:shd w:val="clear" w:color="auto" w:fill="FFFFFF"/>
        <w:spacing w:after="0" w:line="240" w:lineRule="auto"/>
        <w:ind w:firstLine="567"/>
        <w:jc w:val="both"/>
        <w:rPr>
          <w:rFonts w:ascii="Calibri" w:eastAsia="Times New Roman" w:hAnsi="Calibri" w:cs="Times New Roman"/>
          <w:color w:val="1C283D"/>
          <w:lang w:eastAsia="tr-TR"/>
        </w:rPr>
      </w:pPr>
    </w:p>
    <w:p w:rsidR="00F2620B" w:rsidRDefault="00F2620B"/>
    <w:p w:rsidR="00BA7149" w:rsidRDefault="00BA7149" w:rsidP="00BA7149">
      <w:pPr>
        <w:ind w:firstLine="567"/>
        <w:jc w:val="both"/>
      </w:pPr>
      <w:r>
        <w:t>Strate</w:t>
      </w:r>
      <w:bookmarkStart w:id="0" w:name="_GoBack"/>
      <w:bookmarkEnd w:id="0"/>
      <w:r>
        <w:t xml:space="preserve">jik Planlama Ekibi Stratejik planlama ekibi bir rektör yardımcısı başkanlığında, </w:t>
      </w:r>
      <w:proofErr w:type="spellStart"/>
      <w:r>
        <w:t>SGDB’nin</w:t>
      </w:r>
      <w:proofErr w:type="spellEnd"/>
      <w:r>
        <w:t xml:space="preserve"> koordinasyonunda, harcama birimlerinin temsilcileri ile SGDB yöneticisinden oluşur. Ekip; hazırlık programının oluşturulması, stratejik planlama sürecinin hazırlık programına uygun olarak yürütülmesi, gerekli faaliyetlerin koordine edilmesi ile Strateji Geliştirme Kurulunun uygun görüşüne ve Rektörün onayına sunulacak belgelerin hazırlanmasından sorumludur. Ekip başkanı; ekibin oluşturulması, çalışmaların planlanması, ekip içi görevlendirmelerin yapılması, ekip üyelerinin </w:t>
      </w:r>
      <w:proofErr w:type="gramStart"/>
      <w:r>
        <w:t>motivasyonu</w:t>
      </w:r>
      <w:proofErr w:type="gramEnd"/>
      <w:r>
        <w:t xml:space="preserve"> ile ekip ve üst yönetim arasında eşgüdüm sağlanması görevlerini yerine getirir. Stratejik planlama ekibinin amaca uygun bir yapıda kurulması, çalışmaların başarısı için kritik öneme sahiptir. Ekip başkanının toplantılara iştirak edemediği durumlarda başkanlığa, SGDB Stratejik Plan Hazırlık Süreci Üniversiteler İçin Stratejik Planlama Rehberi 10 yöneticisi vekâlet edebilir. Stratejik planlama ekibi oluşturulurken üyelerin bireysel özelliklerinin yanı sıra oluşturulacak grubun niteliği de göz önünde bulundurulur. Bir stratejik planlama ekibi üyesi; </w:t>
      </w:r>
    </w:p>
    <w:p w:rsidR="00BA7149" w:rsidRDefault="00BA7149" w:rsidP="00BA7149">
      <w:pPr>
        <w:ind w:firstLine="567"/>
        <w:jc w:val="both"/>
      </w:pPr>
      <w:r>
        <w:sym w:font="Symbol" w:char="F0A7"/>
      </w:r>
      <w:r>
        <w:t xml:space="preserve"> Görev yaptığı birimi temsil edebilmeli </w:t>
      </w:r>
    </w:p>
    <w:p w:rsidR="00BA7149" w:rsidRDefault="00BA7149" w:rsidP="00BA7149">
      <w:pPr>
        <w:ind w:firstLine="567"/>
        <w:jc w:val="both"/>
      </w:pPr>
      <w:r>
        <w:sym w:font="Symbol" w:char="F0A7"/>
      </w:r>
      <w:r>
        <w:t xml:space="preserve"> Çalışmalara katkıda bulunacak bilgi, birikim ve tecrübeye sahip olmalı </w:t>
      </w:r>
    </w:p>
    <w:p w:rsidR="00BA7149" w:rsidRDefault="00BA7149" w:rsidP="00BA7149">
      <w:pPr>
        <w:ind w:firstLine="567"/>
        <w:jc w:val="both"/>
      </w:pPr>
      <w:r>
        <w:sym w:font="Symbol" w:char="F0A7"/>
      </w:r>
      <w:r>
        <w:t xml:space="preserve"> Uyumlu çalışabilmeli </w:t>
      </w:r>
    </w:p>
    <w:p w:rsidR="00BA7149" w:rsidRDefault="00BA7149" w:rsidP="00BA7149">
      <w:pPr>
        <w:ind w:firstLine="567"/>
        <w:jc w:val="both"/>
      </w:pPr>
      <w:r>
        <w:sym w:font="Symbol" w:char="F0A7"/>
      </w:r>
      <w:r>
        <w:t xml:space="preserve"> Stratejik planlama çalışmalarına yeterli zamanı ayırabilmelidir.</w:t>
      </w:r>
    </w:p>
    <w:p w:rsidR="00BA7149" w:rsidRDefault="00BA7149" w:rsidP="00BA7149">
      <w:pPr>
        <w:ind w:firstLine="567"/>
        <w:jc w:val="both"/>
      </w:pPr>
      <w:r>
        <w:t xml:space="preserve"> Stratejik planlama ekibinde; </w:t>
      </w:r>
    </w:p>
    <w:p w:rsidR="00BA7149" w:rsidRDefault="00BA7149" w:rsidP="00BA7149">
      <w:pPr>
        <w:ind w:firstLine="567"/>
        <w:jc w:val="both"/>
      </w:pPr>
      <w:r>
        <w:sym w:font="Symbol" w:char="F0A7"/>
      </w:r>
      <w:r>
        <w:t xml:space="preserve"> Ana hizmet birimleri ve SGDB yeterince temsil edilmeli </w:t>
      </w:r>
    </w:p>
    <w:p w:rsidR="00BA7149" w:rsidRDefault="00BA7149" w:rsidP="00BA7149">
      <w:pPr>
        <w:ind w:firstLine="567"/>
        <w:jc w:val="both"/>
      </w:pPr>
      <w:r>
        <w:sym w:font="Symbol" w:char="F0A7"/>
      </w:r>
      <w:r>
        <w:t xml:space="preserve"> Farklı uzmanlık alanlarına sahip kişiler yer almalı </w:t>
      </w:r>
    </w:p>
    <w:p w:rsidR="00BA7149" w:rsidRDefault="00BA7149" w:rsidP="00BA7149">
      <w:pPr>
        <w:ind w:firstLine="567"/>
        <w:jc w:val="both"/>
      </w:pPr>
      <w:r>
        <w:sym w:font="Symbol" w:char="F0A7"/>
      </w:r>
      <w:r>
        <w:t xml:space="preserve"> Akademik ve idari personel sayısı arasında denge sağlanmalı </w:t>
      </w:r>
    </w:p>
    <w:p w:rsidR="00BA7149" w:rsidRDefault="00BA7149" w:rsidP="00BA7149">
      <w:pPr>
        <w:ind w:firstLine="567"/>
        <w:jc w:val="both"/>
      </w:pPr>
      <w:r>
        <w:sym w:font="Symbol" w:char="F0A7"/>
      </w:r>
      <w:r>
        <w:t xml:space="preserve"> Çalışma süresince üyelerin devamlılığı sağlanmalı </w:t>
      </w:r>
    </w:p>
    <w:p w:rsidR="00BA7149" w:rsidRDefault="00BA7149" w:rsidP="00BA7149">
      <w:pPr>
        <w:ind w:firstLine="567"/>
        <w:jc w:val="both"/>
      </w:pPr>
      <w:r>
        <w:sym w:font="Symbol" w:char="F0A7"/>
      </w:r>
      <w:r>
        <w:t xml:space="preserve"> Üye sayısı, birlikte karar almayı imkânsız hale getirecek kadar çok, farklı fikir ve birimlerin temsiline izin vermeyecek kadar az olmamalıdır.</w:t>
      </w:r>
    </w:p>
    <w:sectPr w:rsidR="00BA71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15"/>
    <w:rsid w:val="00025D30"/>
    <w:rsid w:val="005E51F7"/>
    <w:rsid w:val="006660D1"/>
    <w:rsid w:val="00BA7149"/>
    <w:rsid w:val="00BB00D0"/>
    <w:rsid w:val="00D95515"/>
    <w:rsid w:val="00F262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B5C05-0A94-40FF-BF74-0AFC5725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8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2780</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Sakalli</dc:creator>
  <cp:keywords/>
  <dc:description/>
  <cp:lastModifiedBy>Ismail Sakalli</cp:lastModifiedBy>
  <cp:revision>3</cp:revision>
  <dcterms:created xsi:type="dcterms:W3CDTF">2019-04-01T13:14:00Z</dcterms:created>
  <dcterms:modified xsi:type="dcterms:W3CDTF">2019-04-01T13:17:00Z</dcterms:modified>
</cp:coreProperties>
</file>